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15, 2026</w:t>
      </w:r>
    </w:p>
    <w:p>
      <w:pPr>
        <w:spacing w:after="0" w:line="24" w:lineRule="exact"/>
        <w:rPr>
          <w:sz w:val="24"/>
          <w:szCs w:val="24"/>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868680</wp:posOffset>
            </wp:positionH>
            <wp:positionV relativeFrom="paragraph">
              <wp:posOffset>57785</wp:posOffset>
            </wp:positionV>
            <wp:extent cx="54368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6870" cy="635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90805</wp:posOffset>
            </wp:positionV>
            <wp:extent cx="54368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6870" cy="6350"/>
                    </a:xfrm>
                    <a:prstGeom prst="rect">
                      <a:avLst/>
                    </a:prstGeom>
                    <a:noFill/>
                  </pic:spPr>
                </pic:pic>
              </a:graphicData>
            </a:graphic>
          </wp:anchor>
        </w:drawing>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110490</wp:posOffset>
            </wp:positionV>
            <wp:extent cx="11391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40"/>
        <w:spacing w:after="0" w:line="231"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117475</wp:posOffset>
            </wp:positionV>
            <wp:extent cx="11391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CONNECT BIOPHARMA HOLDINGS LIMITED</w:t>
      </w:r>
    </w:p>
    <w:p>
      <w:pPr>
        <w:spacing w:after="0" w:line="3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116840</wp:posOffset>
            </wp:positionV>
            <wp:extent cx="11391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4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p>
      <w:pPr>
        <w:spacing w:after="0" w:line="72" w:lineRule="exact"/>
        <w:rPr>
          <w:sz w:val="24"/>
          <w:szCs w:val="24"/>
          <w:color w:val="auto"/>
        </w:rPr>
      </w:pPr>
    </w:p>
    <w:tbl>
      <w:tblPr>
        <w:tblLayout w:type="fixed"/>
        <w:tblInd w:w="2800" w:type="dxa"/>
        <w:tblCellMar>
          <w:top w:w="0" w:type="dxa"/>
          <w:left w:w="0" w:type="dxa"/>
          <w:bottom w:w="0" w:type="dxa"/>
          <w:right w:w="0" w:type="dxa"/>
        </w:tblCellMar>
      </w:tblPr>
      <w:tr>
        <w:trPr>
          <w:trHeight w:val="165"/>
        </w:trPr>
        <w:tc>
          <w:tcPr>
            <w:tcW w:w="3020" w:type="dxa"/>
            <w:vAlign w:val="bottom"/>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w w:val="99"/>
              </w:rPr>
              <w:t>Cayman Islands</w:t>
            </w:r>
          </w:p>
        </w:tc>
        <w:tc>
          <w:tcPr>
            <w:tcW w:w="248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5"/>
        </w:trPr>
        <w:tc>
          <w:tcPr>
            <w:tcW w:w="3020" w:type="dxa"/>
            <w:vAlign w:val="bottom"/>
          </w:tcPr>
          <w:p>
            <w:pPr>
              <w:jc w:val="center"/>
              <w:ind w:right="1519"/>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480" w:type="dxa"/>
            <w:vAlign w:val="bottom"/>
          </w:tcPr>
          <w:p>
            <w:pPr>
              <w:jc w:val="center"/>
              <w:ind w:left="149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3020" w:type="dxa"/>
            <w:vAlign w:val="bottom"/>
          </w:tcPr>
          <w:p>
            <w:pPr>
              <w:jc w:val="center"/>
              <w:ind w:right="149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480" w:type="dxa"/>
            <w:vAlign w:val="bottom"/>
          </w:tcPr>
          <w:p>
            <w:pPr>
              <w:jc w:val="center"/>
              <w:ind w:left="149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6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3580 Carmel Mountain Road, Suite 200</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California 92130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 +1 877 245 2787</w:t>
      </w:r>
    </w:p>
    <w:p>
      <w:pPr>
        <w:spacing w:after="0" w:line="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1"/>
          <w:szCs w:val="11"/>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109855</wp:posOffset>
            </wp:positionV>
            <wp:extent cx="11391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Connect Biopharm LLC</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3580 Carmel Mountain Road, Suite 200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California 92130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 +1 877 245 2787</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116205</wp:posOffset>
            </wp:positionV>
            <wp:extent cx="11391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4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With copies to:</w:t>
      </w:r>
    </w:p>
    <w:p>
      <w:pPr>
        <w:spacing w:after="0" w:line="9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Michael E. Sullivan, Esq.</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Latham &amp; Watkins LLP</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12670 High Bluff Drive</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California 92130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 +1 858 523 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120650</wp:posOffset>
            </wp:positionV>
            <wp:extent cx="11391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Jeff Cohn, Esq.</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General Counsel and Corporate Secretary</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Connect Biopharma Holdings Limited</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3580 Carmel Mountain Road, Suite 200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Diego, California 92130</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 +1 877 245 2787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3014345</wp:posOffset>
            </wp:positionH>
            <wp:positionV relativeFrom="paragraph">
              <wp:posOffset>120650</wp:posOffset>
            </wp:positionV>
            <wp:extent cx="11391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4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94" w:lineRule="exact"/>
        <w:rPr>
          <w:sz w:val="24"/>
          <w:szCs w:val="24"/>
          <w:color w:val="auto"/>
        </w:rPr>
      </w:pPr>
    </w:p>
    <w:p>
      <w:pPr>
        <w:ind w:left="1360" w:right="61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39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39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55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37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49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479" w:firstLine="342"/>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49" w:lineRule="exact"/>
        <w:rPr>
          <w:sz w:val="24"/>
          <w:szCs w:val="24"/>
          <w:color w:val="auto"/>
        </w:rPr>
      </w:pPr>
    </w:p>
    <w:p>
      <w:pPr>
        <w:jc w:val="both"/>
        <w:ind w:left="1360" w:right="319" w:firstLine="342"/>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49" w:lineRule="exact"/>
        <w:rPr>
          <w:sz w:val="24"/>
          <w:szCs w:val="24"/>
          <w:color w:val="auto"/>
        </w:rPr>
      </w:pPr>
    </w:p>
    <w:p>
      <w:pPr>
        <w:ind w:left="1360" w:right="519" w:firstLine="342"/>
        <w:spacing w:after="0" w:line="289" w:lineRule="auto"/>
        <w:rPr>
          <w:sz w:val="20"/>
          <w:szCs w:val="20"/>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37" w:lineRule="exact"/>
        <w:rPr>
          <w:sz w:val="24"/>
          <w:szCs w:val="24"/>
          <w:color w:val="auto"/>
        </w:rPr>
      </w:pPr>
    </w:p>
    <w:p>
      <w:pPr>
        <w:ind w:left="1360" w:right="339" w:firstLine="342"/>
        <w:spacing w:after="0" w:line="266" w:lineRule="auto"/>
        <w:rPr>
          <w:sz w:val="20"/>
          <w:szCs w:val="20"/>
          <w:color w:val="auto"/>
        </w:rPr>
      </w:pPr>
      <w:r>
        <w:rPr>
          <w:rFonts w:ascii="Times New Roman" w:cs="Times New Roman" w:eastAsia="Times New Roman" w:hAnsi="Times New Roman"/>
          <w:sz w:val="13"/>
          <w:szCs w:val="13"/>
          <w:b w:val="1"/>
          <w:bCs w:val="1"/>
          <w:color w:val="auto"/>
        </w:rPr>
        <w:t>We hereby amend this Registration Statement on such date or dates as may be necessary to delay its effective date until we file a further amendment which will specifically state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868680</wp:posOffset>
            </wp:positionH>
            <wp:positionV relativeFrom="paragraph">
              <wp:posOffset>64135</wp:posOffset>
            </wp:positionV>
            <wp:extent cx="54368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36870" cy="635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97790</wp:posOffset>
            </wp:positionV>
            <wp:extent cx="54368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36870" cy="6350"/>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2" w:lineRule="exact"/>
        <w:rPr>
          <w:sz w:val="20"/>
          <w:szCs w:val="20"/>
          <w:color w:val="auto"/>
        </w:rPr>
      </w:pPr>
    </w:p>
    <w:tbl>
      <w:tblPr>
        <w:tblLayout w:type="fixed"/>
        <w:tblInd w:w="1360" w:type="dxa"/>
        <w:tblCellMar>
          <w:top w:w="0" w:type="dxa"/>
          <w:left w:w="0" w:type="dxa"/>
          <w:bottom w:w="0" w:type="dxa"/>
          <w:right w:w="0" w:type="dxa"/>
        </w:tblCellMar>
      </w:tblPr>
      <w:tr>
        <w:trPr>
          <w:trHeight w:val="296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securities may not be sold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preliminary prospectus is not an offer to sell</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not permitted.</w:t>
            </w:r>
          </w:p>
        </w:tc>
      </w:tr>
      <w:tr>
        <w:trPr>
          <w:trHeight w:val="610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The information in this preliminary prospectus is not complete and may be changed. These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registration statement filed with the Securities and 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nor does it seek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FF4338"/>
        </w:rPr>
        <w:t>Subject to Completion,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-590550</wp:posOffset>
            </wp:positionV>
            <wp:extent cx="720153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134620</wp:posOffset>
            </wp:positionV>
            <wp:extent cx="132588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58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5"/>
          <w:szCs w:val="25"/>
          <w:b w:val="1"/>
          <w:bCs w:val="1"/>
          <w:color w:val="auto"/>
        </w:rPr>
        <w:t>6,130,000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200025</wp:posOffset>
            </wp:positionV>
            <wp:extent cx="9664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6470" cy="63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919" w:firstLine="289"/>
        <w:spacing w:after="0" w:line="255" w:lineRule="auto"/>
        <w:rPr>
          <w:sz w:val="20"/>
          <w:szCs w:val="20"/>
          <w:color w:val="auto"/>
        </w:rPr>
      </w:pPr>
      <w:r>
        <w:rPr>
          <w:rFonts w:ascii="Times New Roman" w:cs="Times New Roman" w:eastAsia="Times New Roman" w:hAnsi="Times New Roman"/>
          <w:sz w:val="14"/>
          <w:szCs w:val="14"/>
          <w:color w:val="auto"/>
        </w:rPr>
        <w:t>This prospectus relates to the proposed resale or other disposition by the selling securityholders identified in this prospectus of up to 6,130,000 ordinary shares, par value $0.000174 per share, of Connect Biopharma Holdings Limited (the “Ordinary Shares”). The Ordinary Shares being offered were issued and sold to accredited investors in a private placement, which closed on March 31, 2026. We are not selling any of our Ordinary Shares under this prospectus and will not receive any of the proceeds from the sale or other disposition of Ordinary Shares by the selling securityholders. All expenses of registration incurred in connection with this offering are being borne by us. All selling and other expenses incurred by the selling securityholders will be borne by the selling securityholders.</w:t>
      </w:r>
    </w:p>
    <w:p>
      <w:pPr>
        <w:spacing w:after="0" w:line="146" w:lineRule="exact"/>
        <w:rPr>
          <w:sz w:val="20"/>
          <w:szCs w:val="20"/>
          <w:color w:val="auto"/>
        </w:rPr>
      </w:pPr>
    </w:p>
    <w:p>
      <w:pPr>
        <w:ind w:right="919" w:firstLine="289"/>
        <w:spacing w:after="0" w:line="254" w:lineRule="auto"/>
        <w:rPr>
          <w:sz w:val="20"/>
          <w:szCs w:val="20"/>
          <w:color w:val="auto"/>
        </w:rPr>
      </w:pPr>
      <w:r>
        <w:rPr>
          <w:rFonts w:ascii="Times New Roman" w:cs="Times New Roman" w:eastAsia="Times New Roman" w:hAnsi="Times New Roman"/>
          <w:sz w:val="14"/>
          <w:szCs w:val="14"/>
          <w:color w:val="auto"/>
        </w:rPr>
        <w:t>The selling securityholders may, from time to time, sell, transfer, or otherwise dispose of any or all of their securities on any national securities exchange or quotation service on which the securities may be listed or quoted at the time of sale, in the over-the-counter market, in one or more transactions other than on these exchanges or systems, such as privately negotiated transactions, or using a combination of these methods, and at fixed prices, at prevailing market prices at the time of sale, at varying prices determined at the time of sale, or at negotiated prices. See the disclosure under the heading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elsewhere in this prospectus for more information about how the selling securityholders may sell or otherwise dispose of their securities hereunder. The selling securityholders may sell any, all or none of the securities offered by this prospectus, and we do not know when or in what amount the selling securityholders may sell their securities hereunder following the effective date of the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168275</wp:posOffset>
            </wp:positionV>
            <wp:extent cx="96647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6470" cy="6350"/>
                    </a:xfrm>
                    <a:prstGeom prst="rect">
                      <a:avLst/>
                    </a:prstGeom>
                    <a:noFill/>
                  </pic:spPr>
                </pic:pic>
              </a:graphicData>
            </a:graphic>
          </wp:anchor>
        </w:drawing>
      </w:r>
    </w:p>
    <w:p>
      <w:pPr>
        <w:spacing w:after="0" w:line="399" w:lineRule="exact"/>
        <w:rPr>
          <w:sz w:val="20"/>
          <w:szCs w:val="20"/>
          <w:color w:val="auto"/>
        </w:rPr>
      </w:pPr>
    </w:p>
    <w:p>
      <w:pPr>
        <w:ind w:right="959" w:firstLine="289"/>
        <w:spacing w:after="0" w:line="239"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7 OF THIS PROSPECTUS AND ANY SIMILAR SECTION CONTAINED IN THE APPLICABLE PROSPECTUS SUPPLEMENT OR IN THE DOCUMENTS INCORPORATED BY REFERENCE INTO THIS PROSPECTUS CONCERNING FACTORS YOU SHOULD CONSIDER BEFORE INVESTING IN OUR SECURITIES.</w:t>
      </w:r>
    </w:p>
    <w:p>
      <w:pPr>
        <w:spacing w:after="0" w:line="149" w:lineRule="exact"/>
        <w:rPr>
          <w:sz w:val="20"/>
          <w:szCs w:val="20"/>
          <w:color w:val="auto"/>
        </w:rPr>
      </w:pPr>
    </w:p>
    <w:p>
      <w:pPr>
        <w:ind w:right="1379" w:firstLine="289"/>
        <w:spacing w:after="0" w:line="282" w:lineRule="auto"/>
        <w:rPr>
          <w:sz w:val="20"/>
          <w:szCs w:val="20"/>
          <w:color w:val="auto"/>
        </w:rPr>
      </w:pPr>
      <w:r>
        <w:rPr>
          <w:rFonts w:ascii="Times New Roman" w:cs="Times New Roman" w:eastAsia="Times New Roman" w:hAnsi="Times New Roman"/>
          <w:sz w:val="14"/>
          <w:szCs w:val="14"/>
          <w:color w:val="auto"/>
        </w:rPr>
        <w:t>Our Ordinary Shares are listed on the Nasdaq Global Market under the symbol “CNTB.” On May 14, 2026, the last reported sale price of our Ordinary Shares on the Nasdaq Global Market was $2.48 per share.</w:t>
      </w:r>
    </w:p>
    <w:p>
      <w:pPr>
        <w:spacing w:after="0" w:line="123" w:lineRule="exact"/>
        <w:rPr>
          <w:sz w:val="20"/>
          <w:szCs w:val="20"/>
          <w:color w:val="auto"/>
        </w:rPr>
      </w:pPr>
    </w:p>
    <w:p>
      <w:pPr>
        <w:ind w:right="979" w:firstLine="289"/>
        <w:spacing w:after="0" w:line="26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162560</wp:posOffset>
            </wp:positionV>
            <wp:extent cx="96647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6470" cy="6350"/>
                    </a:xfrm>
                    <a:prstGeom prst="rect">
                      <a:avLst/>
                    </a:prstGeom>
                    <a:noFill/>
                  </pic:spPr>
                </pic:pic>
              </a:graphicData>
            </a:graphic>
          </wp:anchor>
        </w:drawing>
      </w:r>
    </w:p>
    <w:p>
      <w:pPr>
        <w:spacing w:after="0" w:line="39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800" w:space="240"/>
            <w:col w:w="8119"/>
          </w:cols>
          <w:pgMar w:left="300" w:top="38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280" w:type="dxa"/>
            <w:vAlign w:val="bottom"/>
          </w:tcPr>
          <w:p>
            <w:pPr>
              <w:spacing w:after="0"/>
              <w:rPr>
                <w:sz w:val="16"/>
                <w:szCs w:val="16"/>
                <w:color w:val="auto"/>
              </w:rPr>
            </w:pPr>
          </w:p>
        </w:tc>
      </w:tr>
      <w:tr>
        <w:trPr>
          <w:trHeight w:val="325"/>
        </w:trPr>
        <w:tc>
          <w:tcPr>
            <w:tcW w:w="1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ABOUT THIS PROSPECTUS</w:t>
            </w:r>
          </w:p>
        </w:tc>
        <w:tc>
          <w:tcPr>
            <w:tcW w:w="3500" w:type="dxa"/>
            <w:vAlign w:val="bottom"/>
            <w:gridSpan w:val="5"/>
          </w:tcPr>
          <w:p>
            <w:pPr>
              <w:spacing w:after="0"/>
              <w:rPr>
                <w:sz w:val="24"/>
                <w:szCs w:val="24"/>
                <w:color w:val="auto"/>
              </w:rPr>
            </w:pP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8"/>
        </w:trPr>
        <w:tc>
          <w:tcPr>
            <w:tcW w:w="524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8"/>
        </w:trPr>
        <w:tc>
          <w:tcPr>
            <w:tcW w:w="524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9"/>
              </w:rPr>
              <w:t>WHERE YOU CAN FIND MORE INFORMATION; INCORPORATION BY REFERENCE</w:t>
            </w: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250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9"/>
              </w:rPr>
              <w:t>ENFORCEMENT OF CIVIL LIABILITIES</w:t>
            </w:r>
          </w:p>
        </w:tc>
        <w:tc>
          <w:tcPr>
            <w:tcW w:w="2740" w:type="dxa"/>
            <w:vAlign w:val="bottom"/>
            <w:gridSpan w:val="2"/>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r>
      <w:tr>
        <w:trPr>
          <w:trHeight w:val="148"/>
        </w:trPr>
        <w:tc>
          <w:tcPr>
            <w:tcW w:w="100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THE COMPANY</w:t>
            </w:r>
          </w:p>
        </w:tc>
        <w:tc>
          <w:tcPr>
            <w:tcW w:w="4240" w:type="dxa"/>
            <w:vAlign w:val="bottom"/>
            <w:gridSpan w:val="9"/>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98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7"/>
              </w:rPr>
              <w:t>RISK FACTORS</w:t>
            </w:r>
          </w:p>
        </w:tc>
        <w:tc>
          <w:tcPr>
            <w:tcW w:w="4260" w:type="dxa"/>
            <w:vAlign w:val="bottom"/>
            <w:gridSpan w:val="10"/>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148"/>
        </w:trPr>
        <w:tc>
          <w:tcPr>
            <w:tcW w:w="1240" w:type="dxa"/>
            <w:vAlign w:val="bottom"/>
            <w:tcBorders>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9"/>
              </w:rPr>
              <w:t>USE OF PROCEEDS</w:t>
            </w:r>
          </w:p>
        </w:tc>
        <w:tc>
          <w:tcPr>
            <w:tcW w:w="4000" w:type="dxa"/>
            <w:vAlign w:val="bottom"/>
            <w:gridSpan w:val="7"/>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r>
      <w:tr>
        <w:trPr>
          <w:trHeight w:val="148"/>
        </w:trPr>
        <w:tc>
          <w:tcPr>
            <w:tcW w:w="224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SHARE CAPITAL</w:t>
            </w:r>
          </w:p>
        </w:tc>
        <w:tc>
          <w:tcPr>
            <w:tcW w:w="3000" w:type="dxa"/>
            <w:vAlign w:val="bottom"/>
            <w:gridSpan w:val="3"/>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524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SELLING SECURITYHOLDERS</w:t>
            </w: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r>
      <w:tr>
        <w:trPr>
          <w:trHeight w:val="148"/>
        </w:trPr>
        <w:tc>
          <w:tcPr>
            <w:tcW w:w="1600" w:type="dxa"/>
            <w:vAlign w:val="bottom"/>
            <w:tcBorders>
              <w:top w:val="single" w:sz="8" w:color="0000EE"/>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340" w:type="dxa"/>
            <w:vAlign w:val="bottom"/>
            <w:tcBorders>
              <w:top w:val="single" w:sz="8" w:color="0000EE"/>
            </w:tcBorders>
            <w:gridSpan w:val="2"/>
          </w:tcPr>
          <w:p>
            <w:pPr>
              <w:spacing w:after="0"/>
              <w:rPr>
                <w:sz w:val="12"/>
                <w:szCs w:val="12"/>
                <w:color w:val="auto"/>
              </w:rPr>
            </w:pPr>
          </w:p>
        </w:tc>
        <w:tc>
          <w:tcPr>
            <w:tcW w:w="3300" w:type="dxa"/>
            <w:vAlign w:val="bottom"/>
            <w:gridSpan w:val="4"/>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114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4100" w:type="dxa"/>
            <w:vAlign w:val="bottom"/>
            <w:gridSpan w:val="8"/>
          </w:tcPr>
          <w:p>
            <w:pPr>
              <w:spacing w:after="0"/>
              <w:rPr>
                <w:sz w:val="12"/>
                <w:szCs w:val="12"/>
                <w:color w:val="auto"/>
              </w:rPr>
            </w:pP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25</w:t>
            </w:r>
          </w:p>
        </w:tc>
      </w:tr>
      <w:tr>
        <w:trPr>
          <w:trHeight w:val="148"/>
        </w:trPr>
        <w:tc>
          <w:tcPr>
            <w:tcW w:w="524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32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25</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ectPr>
          <w:pgSz w:w="11900" w:h="16838" w:orient="portrait"/>
          <w:cols w:equalWidth="0" w:num="1">
            <w:col w:w="10159"/>
          </w:cols>
          <w:pgMar w:left="300" w:top="38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239" w:firstLine="342"/>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using a “shelf” registration process. By using a shelf registration statement, the selling securityholders may sell securities from time to time and in one or more offerings as described in this prospectus. We may authorize one or more prospectus supplements or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any applicable prospectus supplement (and any applicable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46" w:lineRule="exact"/>
        <w:rPr>
          <w:sz w:val="20"/>
          <w:szCs w:val="20"/>
          <w:color w:val="auto"/>
        </w:rPr>
      </w:pPr>
    </w:p>
    <w:p>
      <w:pPr>
        <w:ind w:left="1360" w:right="239" w:firstLine="342"/>
        <w:spacing w:after="0" w:line="252"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or incorporated by reference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0" w:lineRule="exact"/>
        <w:rPr>
          <w:sz w:val="20"/>
          <w:szCs w:val="20"/>
          <w:color w:val="auto"/>
        </w:rPr>
      </w:pPr>
    </w:p>
    <w:p>
      <w:pPr>
        <w:ind w:left="1360" w:right="259" w:firstLine="342"/>
        <w:spacing w:after="0" w:line="261" w:lineRule="auto"/>
        <w:rPr>
          <w:sz w:val="20"/>
          <w:szCs w:val="20"/>
          <w:color w:val="auto"/>
        </w:rPr>
      </w:pPr>
      <w:r>
        <w:rPr>
          <w:rFonts w:ascii="Times New Roman" w:cs="Times New Roman" w:eastAsia="Times New Roman" w:hAnsi="Times New Roman"/>
          <w:sz w:val="14"/>
          <w:szCs w:val="14"/>
          <w:color w:val="auto"/>
        </w:rPr>
        <w:t>When we refer to “Connect,” “we,” “our,” “us” and the “Company” in this prospectus, we mean Connect Biopharma Holdings Limited, together with our direct and indirect wholly owned subsidiaries, Connect Biopharma HongKong Limited, Connect Biopharm LLC, Connect Biopharma Australia PTY LTD, Suzhou Connect Biopharma Co., Ltd., Connect Biopharma (Beijing) Co., Ltd. and Connect Biopharma (Shanghai) Co., Ltd., unless otherwise specified. When we refer to “you,” we mean the potential holders of the Ordinary Shares.</w:t>
      </w:r>
    </w:p>
    <w:p>
      <w:pPr>
        <w:spacing w:after="0" w:line="139" w:lineRule="exact"/>
        <w:rPr>
          <w:sz w:val="20"/>
          <w:szCs w:val="20"/>
          <w:color w:val="auto"/>
        </w:rPr>
      </w:pPr>
    </w:p>
    <w:p>
      <w:pPr>
        <w:jc w:val="both"/>
        <w:ind w:left="1360" w:right="319" w:firstLine="342"/>
        <w:spacing w:after="0" w:line="231" w:lineRule="auto"/>
        <w:rPr>
          <w:sz w:val="20"/>
          <w:szCs w:val="20"/>
          <w:color w:val="auto"/>
        </w:rPr>
      </w:pPr>
      <w:r>
        <w:rPr>
          <w:rFonts w:ascii="Times New Roman" w:cs="Times New Roman" w:eastAsia="Times New Roman" w:hAnsi="Times New Roman"/>
          <w:sz w:val="14"/>
          <w:szCs w:val="14"/>
          <w:color w:val="auto"/>
        </w:rPr>
        <w:t xml:space="preserve">We use our trademarks in this prospectus as well as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7" w:lineRule="exact"/>
        <w:rPr>
          <w:sz w:val="20"/>
          <w:szCs w:val="20"/>
          <w:color w:val="auto"/>
        </w:rPr>
      </w:pPr>
    </w:p>
    <w:p>
      <w:pPr>
        <w:ind w:left="1360" w:right="279" w:firstLine="342"/>
        <w:spacing w:after="0" w:line="253"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contain forward-looking statements, which reflect our current views with respect to, among other things, our operations and financial performance. These forward-looking statements are made under the “safe harbor” provisions of the U.S. Private Securities Litigation Reform Act of 1995. All statements other than statements of historical facts contained in this prospectus, including statements regarding our strategy, future financial condition, future operations, research and development, potential of, and expectations for, our pipeline and technology platforms, the timing, potential of and expectations for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expected market size and growth for our potential products, the timing of availability of clinical data, program updates and data disclosures, and our plans for rademikibart,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0" w:lineRule="exact"/>
        <w:rPr>
          <w:sz w:val="20"/>
          <w:szCs w:val="20"/>
          <w:color w:val="auto"/>
        </w:rPr>
      </w:pPr>
    </w:p>
    <w:p>
      <w:pPr>
        <w:ind w:left="1360" w:right="239" w:firstLine="342"/>
        <w:spacing w:after="0" w:line="253"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“should,” “expects,” “might,” “plans,” “anticipates,” “could,” “intends,” “target,” “projects,” “contemplates,” “believes,” “estimates,” “predicts,” “potential,” “seek,” “would” or “continue,” or similar expressions and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Forward-looking statements are inherently subject to risks and uncertainties, some of which cannot be predicted or quantified, including those described in Part I, Item 1A of our most recent Annual Report on Form 10-K and in Part II, Item 1A of any subsequent Quarterly Reports on Form 10-Q, in each case under the heading “Risk Factors”. Accordingly,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3" w:lineRule="exact"/>
        <w:rPr>
          <w:sz w:val="20"/>
          <w:szCs w:val="20"/>
          <w:color w:val="auto"/>
        </w:rPr>
      </w:pPr>
    </w:p>
    <w:p>
      <w:pPr>
        <w:ind w:left="1360" w:right="559" w:firstLine="342"/>
        <w:spacing w:after="0" w:line="282" w:lineRule="auto"/>
        <w:rPr>
          <w:sz w:val="20"/>
          <w:szCs w:val="20"/>
          <w:color w:val="auto"/>
        </w:rPr>
      </w:pPr>
      <w:r>
        <w:rPr>
          <w:rFonts w:ascii="Times New Roman" w:cs="Times New Roman" w:eastAsia="Times New Roman" w:hAnsi="Times New Roman"/>
          <w:sz w:val="14"/>
          <w:szCs w:val="14"/>
          <w:color w:val="auto"/>
        </w:rPr>
        <w:t xml:space="preserve">We file reports and other information with the SEC. The SEC maintains a web 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https://www.sec.gov</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60" w:right="399" w:firstLine="342"/>
        <w:spacing w:after="0" w:line="285"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https://www.connectbiopharma.com</w:t>
      </w:r>
      <w:r>
        <w:rPr>
          <w:rFonts w:ascii="Times New Roman" w:cs="Times New Roman" w:eastAsia="Times New Roman" w:hAnsi="Times New Roman"/>
          <w:sz w:val="14"/>
          <w:szCs w:val="14"/>
          <w:color w:val="auto"/>
        </w:rPr>
        <w:t>. The information on our website, however, is not, and should not be deemed to be, a part of this prospectus.</w:t>
      </w:r>
    </w:p>
    <w:p>
      <w:pPr>
        <w:spacing w:after="0" w:line="123" w:lineRule="exact"/>
        <w:rPr>
          <w:sz w:val="20"/>
          <w:szCs w:val="20"/>
          <w:color w:val="auto"/>
        </w:rPr>
      </w:pPr>
    </w:p>
    <w:p>
      <w:pPr>
        <w:ind w:left="1360" w:right="279" w:firstLine="342"/>
        <w:spacing w:after="0" w:line="256"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93" w:lineRule="exact"/>
        <w:rPr>
          <w:sz w:val="20"/>
          <w:szCs w:val="20"/>
          <w:color w:val="auto"/>
        </w:rPr>
      </w:pPr>
    </w:p>
    <w:p>
      <w:pPr>
        <w:ind w:left="1360" w:right="299" w:firstLine="342"/>
        <w:spacing w:after="0" w:line="282" w:lineRule="auto"/>
        <w:rPr>
          <w:sz w:val="20"/>
          <w:szCs w:val="20"/>
          <w:color w:val="auto"/>
        </w:rPr>
      </w:pPr>
      <w:r>
        <w:rPr>
          <w:rFonts w:ascii="Times New Roman" w:cs="Times New Roman" w:eastAsia="Times New Roman" w:hAnsi="Times New Roman"/>
          <w:sz w:val="13"/>
          <w:szCs w:val="13"/>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left="1360" w:right="339" w:firstLine="342"/>
        <w:spacing w:after="0" w:line="266"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 We are not, however, incorporating by reference any documents or portions thereof that are not deemed “filed” with the SEC, including any information furnished pursuant to Items 2.02 or 7.01 of Form 8-K or related exhibits furnished pursuant to Item 9.01 of Form 8-K.</w:t>
      </w:r>
    </w:p>
    <w:p>
      <w:pPr>
        <w:spacing w:after="0" w:line="63" w:lineRule="exact"/>
        <w:rPr>
          <w:sz w:val="20"/>
          <w:szCs w:val="20"/>
          <w:color w:val="auto"/>
        </w:rPr>
      </w:pPr>
    </w:p>
    <w:p>
      <w:pPr>
        <w:ind w:left="2120" w:hanging="337"/>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31, 2026;</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29">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12, 2026;</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0">
        <w:r>
          <w:rPr>
            <w:rFonts w:ascii="Times New Roman" w:cs="Times New Roman" w:eastAsia="Times New Roman" w:hAnsi="Times New Roman"/>
            <w:sz w:val="14"/>
            <w:szCs w:val="14"/>
            <w:u w:val="single" w:color="auto"/>
            <w:color w:val="0000EE"/>
          </w:rPr>
          <w:t>March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1">
        <w:r>
          <w:rPr>
            <w:rFonts w:ascii="Times New Roman" w:cs="Times New Roman" w:eastAsia="Times New Roman" w:hAnsi="Times New Roman"/>
            <w:sz w:val="14"/>
            <w:szCs w:val="14"/>
            <w:u w:val="single" w:color="auto"/>
            <w:color w:val="0000EE"/>
          </w:rPr>
          <w:t>April 23, 2026</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2120" w:right="599" w:hanging="337"/>
        <w:spacing w:after="0" w:line="282" w:lineRule="auto"/>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our registration statement on </w:t>
      </w:r>
      <w:hyperlink r:id="rId32">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12, 2021, and any amendment or report filed with the SEC for the purpose of updating such description.</w:t>
      </w:r>
    </w:p>
    <w:p>
      <w:pPr>
        <w:spacing w:after="0" w:line="125" w:lineRule="exact"/>
        <w:rPr>
          <w:rFonts w:ascii="Times New Roman" w:cs="Times New Roman" w:eastAsia="Times New Roman" w:hAnsi="Times New Roman"/>
          <w:sz w:val="14"/>
          <w:szCs w:val="14"/>
          <w:color w:val="auto"/>
        </w:rPr>
      </w:pPr>
    </w:p>
    <w:p>
      <w:pPr>
        <w:ind w:left="1360" w:right="279" w:firstLine="342"/>
        <w:spacing w:after="0" w:line="258"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90"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39" w:firstLine="342"/>
        <w:spacing w:after="0" w:line="282"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CONNECT BIOPHARMA</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3580 CARMEL MOUNTAIN ROAD, SUITE 200</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SAN DIEGO, CALIFORNIA 92130</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(877) 245-2787</w:t>
      </w:r>
    </w:p>
    <w:p>
      <w:pPr>
        <w:spacing w:after="0" w:line="160" w:lineRule="exact"/>
        <w:rPr>
          <w:sz w:val="20"/>
          <w:szCs w:val="20"/>
          <w:color w:val="auto"/>
        </w:rPr>
      </w:pPr>
    </w:p>
    <w:p>
      <w:pPr>
        <w:ind w:left="1360" w:right="419" w:firstLine="342"/>
        <w:spacing w:after="0" w:line="282"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7" w:lineRule="exact"/>
        <w:rPr>
          <w:sz w:val="20"/>
          <w:szCs w:val="20"/>
          <w:color w:val="auto"/>
        </w:rPr>
      </w:pPr>
    </w:p>
    <w:p>
      <w:pPr>
        <w:ind w:left="1360" w:right="239" w:firstLine="342"/>
        <w:spacing w:after="0" w:line="252" w:lineRule="auto"/>
        <w:rPr>
          <w:sz w:val="20"/>
          <w:szCs w:val="20"/>
          <w:color w:val="auto"/>
        </w:rPr>
      </w:pPr>
      <w:r>
        <w:rPr>
          <w:rFonts w:ascii="Times New Roman" w:cs="Times New Roman" w:eastAsia="Times New Roman" w:hAnsi="Times New Roman"/>
          <w:sz w:val="14"/>
          <w:szCs w:val="14"/>
          <w:color w:val="auto"/>
        </w:rPr>
        <w:t>We are incorporated under the laws of the Cayman Islands as an exempted company with limited liability. All of our officers and a majority of our directors are U.S. residents, and our corporate headquarters is located in San Diego, California. However, certain of our operations are conducted, and certain of our operational assets are located, in the People’s Republic of China (the “PRC”). As a result, it may not be possible to effect service of process upon us with respect to certain matters, including with respect to matters arising under U.S. federal securities laws or applicable state securities laws.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the PRC and the country where the judgment is made or on principles of reciprocity between jurisdictions. The PRC does not have any treaties or other form of reciprocity with the U.S. or the Cayman Islands that provide for the reciprocal recognition and enforcement of foreign judgments. In addition, according to the PRC Civil Procedures Law, courts in the PRC will not enforce a foreign judgment against us if they decide that the judgment violates the basic principles of PRC law or national sovereignty, security or public interest. As a result, it is uncertain whether and on what basis a PRC court would enforce a judgment rendered by a court in the U.S. or in the Cayman Islands. Under the PRC Civil Procedures Law, foreign shareholders may originate actions based on PRC law against a company in the PRC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may be, however, difficult for U.S. shareholders to originate actions against us in the PRC in accordance with PRC laws because we are incorporated under the laws of the Cayman Islands and it may be difficult for U.S. shareholders, by virtue only of holding our Ordinary Shares, to establish sufficient connection to the PRC for a PRC court to have jurisdiction as required under the PRC Civil Procedures Law.</w:t>
      </w:r>
    </w:p>
    <w:p>
      <w:pPr>
        <w:spacing w:after="0" w:line="148" w:lineRule="exact"/>
        <w:rPr>
          <w:sz w:val="20"/>
          <w:szCs w:val="20"/>
          <w:color w:val="auto"/>
        </w:rPr>
      </w:pPr>
    </w:p>
    <w:p>
      <w:pPr>
        <w:ind w:left="1360" w:right="319" w:firstLine="342"/>
        <w:spacing w:after="0" w:line="282" w:lineRule="auto"/>
        <w:rPr>
          <w:sz w:val="20"/>
          <w:szCs w:val="20"/>
          <w:color w:val="auto"/>
        </w:rPr>
      </w:pPr>
      <w:r>
        <w:rPr>
          <w:rFonts w:ascii="Times New Roman" w:cs="Times New Roman" w:eastAsia="Times New Roman" w:hAnsi="Times New Roman"/>
          <w:sz w:val="14"/>
          <w:szCs w:val="14"/>
          <w:color w:val="auto"/>
        </w:rPr>
        <w:t>We have appointed Connect Biopharm LLC, as our agent upon whom process may be served in any action brought against us under the securities laws of the U.S.</w:t>
      </w:r>
    </w:p>
    <w:p>
      <w:pPr>
        <w:spacing w:after="0" w:line="125" w:lineRule="exact"/>
        <w:rPr>
          <w:sz w:val="20"/>
          <w:szCs w:val="20"/>
          <w:color w:val="auto"/>
        </w:rPr>
      </w:pPr>
    </w:p>
    <w:p>
      <w:pPr>
        <w:ind w:left="1360" w:right="239" w:firstLine="342"/>
        <w:spacing w:after="0" w:line="253" w:lineRule="auto"/>
        <w:rPr>
          <w:sz w:val="20"/>
          <w:szCs w:val="20"/>
          <w:color w:val="auto"/>
        </w:rPr>
      </w:pPr>
      <w:r>
        <w:rPr>
          <w:rFonts w:ascii="Times New Roman" w:cs="Times New Roman" w:eastAsia="Times New Roman" w:hAnsi="Times New Roman"/>
          <w:sz w:val="14"/>
          <w:szCs w:val="14"/>
          <w:color w:val="auto"/>
        </w:rPr>
        <w:t>The Courts of the Cayman Islands are unlikely (i) to recognize or enforce against us judgments of courts of the U.S. predicated upon the civil liability provisions of the securities laws of the U.S. or any state in the U.S.; and (ii) in original actions brought in the Cayman Islands, to impose liabilities against us predicated upon the civil liability provisions of the securities laws of the U.S. or any state in the U.S., so far as the liabilities imposed by those provisions are penal in nature. In those circumstances,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may not be in respect of taxes or a fine or penalty, inconsistent with a Cayman Islands judgment in respect of the same matter, impeachable on the grounds of fraud or obtained in a manner, and/or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Further, there is uncertainty as to whether the courts of the Cayman Islands would:</w:t>
      </w:r>
    </w:p>
    <w:p>
      <w:pPr>
        <w:spacing w:after="0" w:line="101" w:lineRule="exact"/>
        <w:rPr>
          <w:sz w:val="20"/>
          <w:szCs w:val="20"/>
          <w:color w:val="auto"/>
        </w:rPr>
      </w:pPr>
    </w:p>
    <w:p>
      <w:pPr>
        <w:ind w:left="2120" w:right="339" w:hanging="337"/>
        <w:spacing w:after="0" w:line="282"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judgments of U.S. courts obtained against us or our directors or officers predicated upon the civil liability provisions of the securities laws of the U.S. or any state in the U.S.; or</w:t>
      </w:r>
    </w:p>
    <w:p>
      <w:pPr>
        <w:spacing w:after="0" w:line="51" w:lineRule="exact"/>
        <w:rPr>
          <w:rFonts w:ascii="Times New Roman" w:cs="Times New Roman" w:eastAsia="Times New Roman" w:hAnsi="Times New Roman"/>
          <w:sz w:val="14"/>
          <w:szCs w:val="14"/>
          <w:color w:val="auto"/>
        </w:rPr>
      </w:pPr>
    </w:p>
    <w:p>
      <w:pPr>
        <w:ind w:left="2120" w:right="379" w:hanging="337"/>
        <w:spacing w:after="0" w:line="282"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each respective jurisdiction against us or our directors or officers predicated upon the securities laws of the U.S. or any state in the U.S.</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7" w:lineRule="exact"/>
        <w:rPr>
          <w:sz w:val="20"/>
          <w:szCs w:val="20"/>
          <w:color w:val="auto"/>
        </w:rPr>
      </w:pPr>
    </w:p>
    <w:p>
      <w:pPr>
        <w:ind w:left="1360" w:right="479" w:firstLine="342"/>
        <w:spacing w:after="0" w:line="266" w:lineRule="auto"/>
        <w:rPr>
          <w:sz w:val="20"/>
          <w:szCs w:val="20"/>
          <w:color w:val="auto"/>
        </w:rPr>
      </w:pPr>
      <w:r>
        <w:rPr>
          <w:rFonts w:ascii="Times New Roman" w:cs="Times New Roman" w:eastAsia="Times New Roman" w:hAnsi="Times New Roman"/>
          <w:sz w:val="14"/>
          <w:szCs w:val="14"/>
          <w:color w:val="auto"/>
        </w:rPr>
        <w:t>Connect Biopharma, headquartered in San Diego, California, is a clinical-stage biopharmaceutical company dedicated to transforming care for asthma and chronic obstructive pulmonary disease (“COPD”). We are advancing rademikibart, a next-generation, potentially best-in-class antibody designed to target interleukin-4-receptor alpha (“IL-4Rα”).</w:t>
      </w:r>
    </w:p>
    <w:p>
      <w:pPr>
        <w:spacing w:after="0" w:line="136" w:lineRule="exact"/>
        <w:rPr>
          <w:sz w:val="20"/>
          <w:szCs w:val="20"/>
          <w:color w:val="auto"/>
        </w:rPr>
      </w:pPr>
    </w:p>
    <w:p>
      <w:pPr>
        <w:ind w:left="1360" w:right="419" w:firstLine="342"/>
        <w:spacing w:after="0" w:line="266" w:lineRule="auto"/>
        <w:rPr>
          <w:sz w:val="20"/>
          <w:szCs w:val="20"/>
          <w:color w:val="auto"/>
        </w:rPr>
      </w:pPr>
      <w:r>
        <w:rPr>
          <w:rFonts w:ascii="Times New Roman" w:cs="Times New Roman" w:eastAsia="Times New Roman" w:hAnsi="Times New Roman"/>
          <w:sz w:val="14"/>
          <w:szCs w:val="14"/>
          <w:color w:val="auto"/>
        </w:rPr>
        <w:t>We are not a Chinese operating company but a holding company incorporated in the Cayman Islands. As a holding company with no material operations of our own, we conduct operations primarily through our direct and indirect wholly owned subsidiaries, some of which were established in the PRC. The securities offered in this prospectus are securities of our Cayman Islands holding company, not of our operating subsidiaries.</w:t>
      </w:r>
    </w:p>
    <w:p>
      <w:pPr>
        <w:spacing w:after="0" w:line="136" w:lineRule="exact"/>
        <w:rPr>
          <w:sz w:val="20"/>
          <w:szCs w:val="20"/>
          <w:color w:val="auto"/>
        </w:rPr>
      </w:pPr>
    </w:p>
    <w:p>
      <w:pPr>
        <w:ind w:left="1360" w:right="259" w:firstLine="342"/>
        <w:spacing w:after="0" w:line="234" w:lineRule="auto"/>
        <w:rPr>
          <w:sz w:val="20"/>
          <w:szCs w:val="20"/>
          <w:color w:val="auto"/>
        </w:rPr>
      </w:pPr>
      <w:r>
        <w:rPr>
          <w:rFonts w:ascii="Times New Roman" w:cs="Times New Roman" w:eastAsia="Times New Roman" w:hAnsi="Times New Roman"/>
          <w:sz w:val="14"/>
          <w:szCs w:val="14"/>
          <w:color w:val="auto"/>
        </w:rPr>
        <w:t>Our registered office in the Cayman Islands is at the offices of Appleby Global Services (Cayman) Limited at Suite 210,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Floor, Windward III, Regatta Office Park, Grand Cayman, PO Box 500, KY1-1106. Our principal executive office and agent for service of process in the United States is located at 3580 Carmel Mountain Road, Suite 200, San Diego, California, 92130. Our PRC research, development and administration facility is located at Science and Technology Park, East R&amp;D Building, 3rd Floor, 6 Beijing West Road, Taicang, Jiangsu, The People’s Republic of China 215400, and its telephone number is +86 512 5357 7866.</w:t>
      </w:r>
    </w:p>
    <w:p>
      <w:pPr>
        <w:spacing w:after="0" w:line="1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339" w:firstLine="342"/>
        <w:spacing w:after="0" w:line="253"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and Industry Data” included in our most recent Annual Report on Form 10-K and any subsequent Quarterly Reports on Form 10-Q or Current Reports on Form 8-K.</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will not receive any of the proceeds from the sale of our Ordinary Shares in this offering.</w:t>
      </w:r>
    </w:p>
    <w:p>
      <w:pPr>
        <w:spacing w:after="0" w:line="175" w:lineRule="exact"/>
        <w:rPr>
          <w:sz w:val="20"/>
          <w:szCs w:val="20"/>
          <w:color w:val="auto"/>
        </w:rPr>
      </w:pPr>
    </w:p>
    <w:p>
      <w:pPr>
        <w:ind w:left="1360" w:right="319" w:firstLine="342"/>
        <w:spacing w:after="0" w:line="261" w:lineRule="auto"/>
        <w:rPr>
          <w:sz w:val="20"/>
          <w:szCs w:val="20"/>
          <w:color w:val="auto"/>
        </w:rPr>
      </w:pPr>
      <w:r>
        <w:rPr>
          <w:rFonts w:ascii="Times New Roman" w:cs="Times New Roman" w:eastAsia="Times New Roman" w:hAnsi="Times New Roman"/>
          <w:sz w:val="14"/>
          <w:szCs w:val="14"/>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shares. We will bear all other costs, fees and expenses incurred in effecting the registration of the securities covered by this prospectus, including all registration and filing fees, fees and expenses of our counsel and of our independent registered public accountants.</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77" w:lineRule="exact"/>
        <w:rPr>
          <w:sz w:val="20"/>
          <w:szCs w:val="20"/>
          <w:color w:val="auto"/>
        </w:rPr>
      </w:pPr>
    </w:p>
    <w:p>
      <w:pPr>
        <w:ind w:left="1360" w:right="379" w:firstLine="342"/>
        <w:spacing w:after="0" w:line="266" w:lineRule="auto"/>
        <w:rPr>
          <w:sz w:val="20"/>
          <w:szCs w:val="20"/>
          <w:color w:val="auto"/>
        </w:rPr>
      </w:pPr>
      <w:r>
        <w:rPr>
          <w:rFonts w:ascii="Times New Roman" w:cs="Times New Roman" w:eastAsia="Times New Roman" w:hAnsi="Times New Roman"/>
          <w:sz w:val="14"/>
          <w:szCs w:val="14"/>
          <w:color w:val="auto"/>
        </w:rPr>
        <w:t>We are a Cayman Islands exempted company incorporated with limited liability and our affairs are governed by our fifth amended and restated memorandum and articles of association, as amended from time to time (our “Charter”), the Companies Act (as revised) of the Cayman Islands, which we refer to as the Companies Act below and the common law of the Cayman Islands.</w:t>
      </w:r>
    </w:p>
    <w:p>
      <w:pPr>
        <w:spacing w:after="0" w:line="136" w:lineRule="exact"/>
        <w:rPr>
          <w:sz w:val="20"/>
          <w:szCs w:val="20"/>
          <w:color w:val="auto"/>
        </w:rPr>
      </w:pPr>
    </w:p>
    <w:p>
      <w:pPr>
        <w:ind w:left="1360" w:right="279" w:firstLine="342"/>
        <w:spacing w:after="0" w:line="261" w:lineRule="auto"/>
        <w:rPr>
          <w:sz w:val="20"/>
          <w:szCs w:val="20"/>
          <w:color w:val="auto"/>
        </w:rPr>
      </w:pPr>
      <w:r>
        <w:rPr>
          <w:rFonts w:ascii="Times New Roman" w:cs="Times New Roman" w:eastAsia="Times New Roman" w:hAnsi="Times New Roman"/>
          <w:sz w:val="14"/>
          <w:szCs w:val="14"/>
          <w:color w:val="auto"/>
        </w:rPr>
        <w:t>As of the date of this prospectus, our authorized share capital is $76,560, divided into 440,000,000 shares comprised of (i) 400,000,000 Ordinary Shares, par value $0.000174 per share, and (ii) 40,000,000 preferred shares, par value $0.000174 per share, of such class or classes (however designated) as the Board of Directors may determine in accordance with our Charter. As of April 30, 2026, 62,963,853 Ordinary Shares were issued and outstanding. All of our issued and outstanding Ordinary Shares are fully paid and non-assessable.</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Charter</w:t>
      </w:r>
    </w:p>
    <w:p>
      <w:pPr>
        <w:spacing w:after="0" w:line="93" w:lineRule="exact"/>
        <w:rPr>
          <w:sz w:val="20"/>
          <w:szCs w:val="20"/>
          <w:color w:val="auto"/>
        </w:rPr>
      </w:pPr>
    </w:p>
    <w:p>
      <w:pPr>
        <w:ind w:left="1360" w:right="399" w:firstLine="342"/>
        <w:spacing w:after="0" w:line="282" w:lineRule="auto"/>
        <w:rPr>
          <w:sz w:val="20"/>
          <w:szCs w:val="20"/>
          <w:color w:val="auto"/>
        </w:rPr>
      </w:pPr>
      <w:r>
        <w:rPr>
          <w:rFonts w:ascii="Times New Roman" w:cs="Times New Roman" w:eastAsia="Times New Roman" w:hAnsi="Times New Roman"/>
          <w:sz w:val="14"/>
          <w:szCs w:val="14"/>
          <w:color w:val="auto"/>
        </w:rPr>
        <w:t>The following are summaries of certain material provisions of our Charter and the Companies Act, insofar as they relate to the material terms of our Ordinary Shares.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Objects of Our Company</w:t>
      </w:r>
    </w:p>
    <w:p>
      <w:pPr>
        <w:spacing w:after="0" w:line="93" w:lineRule="exact"/>
        <w:rPr>
          <w:sz w:val="20"/>
          <w:szCs w:val="20"/>
          <w:color w:val="auto"/>
        </w:rPr>
      </w:pPr>
    </w:p>
    <w:p>
      <w:pPr>
        <w:ind w:left="1360" w:right="319" w:firstLine="342"/>
        <w:spacing w:after="0" w:line="282" w:lineRule="auto"/>
        <w:rPr>
          <w:sz w:val="20"/>
          <w:szCs w:val="20"/>
          <w:color w:val="auto"/>
        </w:rPr>
      </w:pPr>
      <w:r>
        <w:rPr>
          <w:rFonts w:ascii="Times New Roman" w:cs="Times New Roman" w:eastAsia="Times New Roman" w:hAnsi="Times New Roman"/>
          <w:sz w:val="14"/>
          <w:szCs w:val="14"/>
          <w:color w:val="auto"/>
        </w:rPr>
        <w:t>Under our Charter, the objects of our company are unrestricted and we have the full power and authority to carry out any object not prohibited by the law of the Cayman Islands.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w:t>
      </w:r>
    </w:p>
    <w:p>
      <w:pPr>
        <w:spacing w:after="0" w:line="93" w:lineRule="exact"/>
        <w:rPr>
          <w:sz w:val="20"/>
          <w:szCs w:val="20"/>
          <w:color w:val="auto"/>
        </w:rPr>
      </w:pPr>
    </w:p>
    <w:p>
      <w:pPr>
        <w:ind w:left="1360" w:right="379" w:firstLine="342"/>
        <w:spacing w:after="0" w:line="266" w:lineRule="auto"/>
        <w:rPr>
          <w:sz w:val="20"/>
          <w:szCs w:val="20"/>
          <w:color w:val="auto"/>
        </w:rPr>
      </w:pPr>
      <w:r>
        <w:rPr>
          <w:rFonts w:ascii="Times New Roman" w:cs="Times New Roman" w:eastAsia="Times New Roman" w:hAnsi="Times New Roman"/>
          <w:sz w:val="14"/>
          <w:szCs w:val="14"/>
          <w:color w:val="auto"/>
        </w:rPr>
        <w:t>Our Ordinary Shares are issued in registered form and are issued when registered in our register of members (shareholders). We may not issue shares to bearer. Our shareholders who are nonresidents of the Cayman Islands may freely hold and vote their shares. Each Ordinary Share entitles the holder thereof to one vote on all matters subject to vote at our general meetings.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1360" w:right="259" w:firstLine="342"/>
        <w:spacing w:after="0" w:line="255" w:lineRule="auto"/>
        <w:rPr>
          <w:sz w:val="20"/>
          <w:szCs w:val="20"/>
          <w:color w:val="auto"/>
        </w:rPr>
      </w:pPr>
      <w:r>
        <w:rPr>
          <w:rFonts w:ascii="Times New Roman" w:cs="Times New Roman" w:eastAsia="Times New Roman" w:hAnsi="Times New Roman"/>
          <w:sz w:val="14"/>
          <w:szCs w:val="14"/>
          <w:color w:val="auto"/>
        </w:rPr>
        <w:t>The holders of our Ordinary Shares are entitled to such dividends as may be declared by our Board of Directors. In addition, our shareholders may declare dividends by ordinary resolution, but no dividend shall exceed the amount recommended by our Board of Directors. Our Charter provides that our Board of Directors may, before recommending or declaring any dividend, set aside out of the funds legally available for distribution such sums as it determines proper as a reserve or reserves which shall, in the absolute discretion of the Board of Directors, be applicable for meeting contingencies or for equalizing dividends or for any other purpose to which those funds may be properly applied. Under the laws of the Cayman Islands, our company may pay a dividend out of either profit or our share premium account, provided that in no circumstances may a dividend be paid if this would result in our company being unable to pay its debts as they fall due in the ordinary course of business.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3" w:lineRule="exact"/>
        <w:rPr>
          <w:sz w:val="20"/>
          <w:szCs w:val="20"/>
          <w:color w:val="auto"/>
        </w:rPr>
      </w:pPr>
    </w:p>
    <w:p>
      <w:pPr>
        <w:ind w:left="1360" w:right="299" w:firstLine="342"/>
        <w:spacing w:after="0" w:line="261" w:lineRule="auto"/>
        <w:rPr>
          <w:sz w:val="20"/>
          <w:szCs w:val="20"/>
          <w:color w:val="auto"/>
        </w:rPr>
      </w:pPr>
      <w:r>
        <w:rPr>
          <w:rFonts w:ascii="Times New Roman" w:cs="Times New Roman" w:eastAsia="Times New Roman" w:hAnsi="Times New Roman"/>
          <w:sz w:val="14"/>
          <w:szCs w:val="14"/>
          <w:color w:val="auto"/>
        </w:rPr>
        <w:t>Each Ordinary Share shall be entitled to one vote on all matters subject to a vote at general meetings of our company. Voting at any shareholders’ meeting is by show of hands unless a poll is demanded (before or on the declaration of the result of the show of hands). A poll may be demanded by the chairman of such meeting or by any one or more shareholders who together hold not less than 10% of the votes attaching to the total number of Ordinary Shares which are present in person or by proxy at the meeting.</w:t>
      </w:r>
    </w:p>
    <w:p>
      <w:pPr>
        <w:spacing w:after="0" w:line="139" w:lineRule="exact"/>
        <w:rPr>
          <w:sz w:val="20"/>
          <w:szCs w:val="20"/>
          <w:color w:val="auto"/>
        </w:rPr>
      </w:pPr>
    </w:p>
    <w:p>
      <w:pPr>
        <w:ind w:left="1360" w:right="259" w:firstLine="342"/>
        <w:spacing w:after="0" w:line="266" w:lineRule="auto"/>
        <w:rPr>
          <w:sz w:val="20"/>
          <w:szCs w:val="20"/>
          <w:color w:val="auto"/>
        </w:rPr>
      </w:pPr>
      <w:r>
        <w:rPr>
          <w:rFonts w:ascii="Times New Roman" w:cs="Times New Roman" w:eastAsia="Times New Roman" w:hAnsi="Times New Roman"/>
          <w:sz w:val="14"/>
          <w:szCs w:val="14"/>
          <w:color w:val="auto"/>
        </w:rPr>
        <w:t>An ordinary resolution to be passed at a meeting by the shareholders requires the affirmative vote of a simple majority of the votes attaching to the Ordinary Shares which are cast at a meeting, while a special resolution requires the affirmative vote of no less than two-thirds of the votes attaching to the Ordinary Shares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99"/>
        <w:spacing w:after="0" w:line="282" w:lineRule="auto"/>
        <w:rPr>
          <w:sz w:val="20"/>
          <w:szCs w:val="20"/>
          <w:color w:val="auto"/>
        </w:rPr>
      </w:pPr>
      <w:r>
        <w:rPr>
          <w:rFonts w:ascii="Times New Roman" w:cs="Times New Roman" w:eastAsia="Times New Roman" w:hAnsi="Times New Roman"/>
          <w:sz w:val="14"/>
          <w:szCs w:val="14"/>
          <w:color w:val="auto"/>
        </w:rPr>
        <w:t>which are cast at a meeting. A special resolution will be required for important matters such as a change of name or making changes to our Charter. Our company may, among other things, divide or combine our Ordinary Shares, by an ordinary resolution of our shareholders.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 Meetings of Shareholders</w:t>
      </w:r>
    </w:p>
    <w:p>
      <w:pPr>
        <w:spacing w:after="0" w:line="93" w:lineRule="exact"/>
        <w:rPr>
          <w:sz w:val="20"/>
          <w:szCs w:val="20"/>
          <w:color w:val="auto"/>
        </w:rPr>
      </w:pPr>
    </w:p>
    <w:p>
      <w:pPr>
        <w:ind w:left="1360" w:right="459" w:firstLine="342"/>
        <w:spacing w:after="0" w:line="261" w:lineRule="auto"/>
        <w:rPr>
          <w:sz w:val="20"/>
          <w:szCs w:val="20"/>
          <w:color w:val="auto"/>
        </w:rPr>
      </w:pPr>
      <w:r>
        <w:rPr>
          <w:rFonts w:ascii="Times New Roman" w:cs="Times New Roman" w:eastAsia="Times New Roman" w:hAnsi="Times New Roman"/>
          <w:sz w:val="14"/>
          <w:szCs w:val="14"/>
          <w:color w:val="auto"/>
        </w:rPr>
        <w:t>As a Cayman Islands exempted company, we are not obliged by the Companies Act to call shareholders’ annual general meetings. Our Charter provides that we may (but are not obliged to) in each year hold a general meeting as our annual general meeting in which case we shall specify the meeting as such in the notices calling it, and the annual general meeting shall be held at such time and place as may be determined by our Board of Directors.</w:t>
      </w:r>
    </w:p>
    <w:p>
      <w:pPr>
        <w:spacing w:after="0" w:line="139" w:lineRule="exact"/>
        <w:rPr>
          <w:sz w:val="20"/>
          <w:szCs w:val="20"/>
          <w:color w:val="auto"/>
        </w:rPr>
      </w:pPr>
    </w:p>
    <w:p>
      <w:pPr>
        <w:ind w:left="1360" w:right="319" w:firstLine="342"/>
        <w:spacing w:after="0" w:line="258" w:lineRule="auto"/>
        <w:rPr>
          <w:sz w:val="20"/>
          <w:szCs w:val="20"/>
          <w:color w:val="auto"/>
        </w:rPr>
      </w:pPr>
      <w:r>
        <w:rPr>
          <w:rFonts w:ascii="Times New Roman" w:cs="Times New Roman" w:eastAsia="Times New Roman" w:hAnsi="Times New Roman"/>
          <w:sz w:val="14"/>
          <w:szCs w:val="14"/>
          <w:color w:val="auto"/>
        </w:rPr>
        <w:t>Shareholders’ general meetings may be convened by the chairman of our Board of Directors or by a majority of our directors (acting by a resolution of the Board of Directors). Advance notice of at least 10 calendar days is required for the convening of our annual general shareholders’ meeting (if any) and any other general meeting of our shareholders. A quorum required for any general meeting of shareholders consists of one or more shareholders present in person or by proxy, holding shares which carry in aggregate not less than one-third of all votes attaching to all of our shares in issue and entitled to vote at such general meeting.</w:t>
      </w:r>
    </w:p>
    <w:p>
      <w:pPr>
        <w:spacing w:after="0" w:line="142" w:lineRule="exact"/>
        <w:rPr>
          <w:sz w:val="20"/>
          <w:szCs w:val="20"/>
          <w:color w:val="auto"/>
        </w:rPr>
      </w:pPr>
    </w:p>
    <w:p>
      <w:pPr>
        <w:ind w:left="1360" w:right="359" w:firstLine="342"/>
        <w:spacing w:after="0" w:line="256" w:lineRule="auto"/>
        <w:rPr>
          <w:sz w:val="20"/>
          <w:szCs w:val="20"/>
          <w:color w:val="auto"/>
        </w:rPr>
      </w:pPr>
      <w:r>
        <w:rPr>
          <w:rFonts w:ascii="Times New Roman" w:cs="Times New Roman" w:eastAsia="Times New Roman" w:hAnsi="Times New Roman"/>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Charter provides that upon the requisition of shareholders holding shares which carry in aggregate not less than one-third of the votes attaching to the issued and outstanding shares of our company entitled to vote at general meetings, our Board of Directors will convene an extraordinary general meeting and put the resolutions so requisitioned to a vote at such meeting. However, our Charter does not provide our shareholders with any right to put any proposals before annual general meetings or extraordinary general meetings not called by such shareholders.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of Ordinary Shares</w:t>
      </w:r>
    </w:p>
    <w:p>
      <w:pPr>
        <w:spacing w:after="0" w:line="93" w:lineRule="exact"/>
        <w:rPr>
          <w:sz w:val="20"/>
          <w:szCs w:val="20"/>
          <w:color w:val="auto"/>
        </w:rPr>
      </w:pPr>
    </w:p>
    <w:p>
      <w:pPr>
        <w:ind w:left="1360" w:right="399" w:firstLine="342"/>
        <w:spacing w:after="0" w:line="282" w:lineRule="auto"/>
        <w:rPr>
          <w:sz w:val="20"/>
          <w:szCs w:val="20"/>
          <w:color w:val="auto"/>
        </w:rPr>
      </w:pPr>
      <w:r>
        <w:rPr>
          <w:rFonts w:ascii="Times New Roman" w:cs="Times New Roman" w:eastAsia="Times New Roman" w:hAnsi="Times New Roman"/>
          <w:sz w:val="14"/>
          <w:szCs w:val="14"/>
          <w:color w:val="auto"/>
        </w:rPr>
        <w:t>Subject to the restrictions set out below, any of our shareholders may transfer all or any Ordinary Shares held by an instrument of transfer in the usual or common form, in a form prescribed by Nasdaq or any other form approved by our Board of Directors.</w:t>
      </w:r>
    </w:p>
    <w:p>
      <w:pPr>
        <w:spacing w:after="0" w:line="125" w:lineRule="exact"/>
        <w:rPr>
          <w:sz w:val="20"/>
          <w:szCs w:val="20"/>
          <w:color w:val="auto"/>
        </w:rPr>
      </w:pPr>
    </w:p>
    <w:p>
      <w:pPr>
        <w:ind w:left="1360" w:right="599" w:firstLine="342"/>
        <w:spacing w:after="0" w:line="282" w:lineRule="auto"/>
        <w:rPr>
          <w:sz w:val="20"/>
          <w:szCs w:val="20"/>
          <w:color w:val="auto"/>
        </w:rPr>
      </w:pPr>
      <w:r>
        <w:rPr>
          <w:rFonts w:ascii="Times New Roman" w:cs="Times New Roman" w:eastAsia="Times New Roman" w:hAnsi="Times New Roman"/>
          <w:sz w:val="14"/>
          <w:szCs w:val="14"/>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2" w:lineRule="exact"/>
        <w:rPr>
          <w:sz w:val="20"/>
          <w:szCs w:val="20"/>
          <w:color w:val="auto"/>
        </w:rPr>
      </w:pPr>
    </w:p>
    <w:p>
      <w:pPr>
        <w:ind w:left="2120" w:right="619" w:hanging="337"/>
        <w:spacing w:after="0" w:line="282"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Ordinary Shares;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101" w:lineRule="exact"/>
        <w:rPr>
          <w:rFonts w:ascii="Times New Roman" w:cs="Times New Roman" w:eastAsia="Times New Roman" w:hAnsi="Times New Roman"/>
          <w:sz w:val="14"/>
          <w:szCs w:val="14"/>
          <w:color w:val="auto"/>
        </w:rPr>
      </w:pPr>
    </w:p>
    <w:p>
      <w:pPr>
        <w:ind w:left="2120" w:right="319" w:hanging="337"/>
        <w:spacing w:after="0" w:line="282"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Ordinary Share is to be transferred does not exceed four; and</w:t>
      </w:r>
    </w:p>
    <w:p>
      <w:pPr>
        <w:spacing w:after="0" w:line="51" w:lineRule="exact"/>
        <w:rPr>
          <w:rFonts w:ascii="Times New Roman" w:cs="Times New Roman" w:eastAsia="Times New Roman" w:hAnsi="Times New Roman"/>
          <w:sz w:val="14"/>
          <w:szCs w:val="14"/>
          <w:color w:val="auto"/>
        </w:rPr>
      </w:pPr>
    </w:p>
    <w:p>
      <w:pPr>
        <w:ind w:left="2120" w:right="399" w:hanging="337"/>
        <w:spacing w:after="0" w:line="282" w:lineRule="auto"/>
        <w:tabs>
          <w:tab w:leader="none" w:pos="2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Nasdaq may determine to be payable or such lesser sum as our Board of Directors may from time to time require is paid to us in respect thereof.</w:t>
      </w:r>
    </w:p>
    <w:p>
      <w:pPr>
        <w:spacing w:after="0" w:line="125" w:lineRule="exact"/>
        <w:rPr>
          <w:sz w:val="20"/>
          <w:szCs w:val="20"/>
          <w:color w:val="auto"/>
        </w:rPr>
      </w:pPr>
    </w:p>
    <w:p>
      <w:pPr>
        <w:ind w:left="1360" w:right="399" w:firstLine="342"/>
        <w:spacing w:after="0" w:line="282" w:lineRule="auto"/>
        <w:rPr>
          <w:sz w:val="20"/>
          <w:szCs w:val="20"/>
          <w:color w:val="auto"/>
        </w:rPr>
      </w:pPr>
      <w:r>
        <w:rPr>
          <w:rFonts w:ascii="Times New Roman" w:cs="Times New Roman" w:eastAsia="Times New Roman" w:hAnsi="Times New Roman"/>
          <w:sz w:val="14"/>
          <w:szCs w:val="14"/>
          <w:color w:val="auto"/>
        </w:rPr>
        <w:t>If our Board of Directors refuses to register a transfer it shall, within three months after the date on which the instrument of transfer was lodged, send to each of the transferor and the transferee notice of such refusal.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left="1360" w:right="279" w:firstLine="342"/>
        <w:spacing w:after="0" w:line="266" w:lineRule="auto"/>
        <w:rPr>
          <w:sz w:val="20"/>
          <w:szCs w:val="20"/>
          <w:color w:val="auto"/>
        </w:rPr>
      </w:pPr>
      <w:r>
        <w:rPr>
          <w:rFonts w:ascii="Times New Roman" w:cs="Times New Roman" w:eastAsia="Times New Roman" w:hAnsi="Times New Roman"/>
          <w:sz w:val="14"/>
          <w:szCs w:val="14"/>
          <w:color w:val="auto"/>
        </w:rPr>
        <w:t>The registration of transfers may, after compliance with any notice required by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3" w:lineRule="exact"/>
        <w:rPr>
          <w:sz w:val="20"/>
          <w:szCs w:val="20"/>
          <w:color w:val="auto"/>
        </w:rPr>
      </w:pPr>
    </w:p>
    <w:p>
      <w:pPr>
        <w:ind w:left="1360" w:right="299" w:firstLine="342"/>
        <w:spacing w:after="0" w:line="258" w:lineRule="auto"/>
        <w:rPr>
          <w:sz w:val="20"/>
          <w:szCs w:val="20"/>
          <w:color w:val="auto"/>
        </w:rPr>
      </w:pPr>
      <w:r>
        <w:rPr>
          <w:rFonts w:ascii="Times New Roman" w:cs="Times New Roman" w:eastAsia="Times New Roman" w:hAnsi="Times New Roman"/>
          <w:sz w:val="14"/>
          <w:szCs w:val="14"/>
          <w:color w:val="auto"/>
        </w:rPr>
        <w:t>On the winding up of our company, if the assets available for distribution amongst our shareholders are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Calls on Shares and Forfeiture of Shares</w:t>
      </w:r>
    </w:p>
    <w:p>
      <w:pPr>
        <w:spacing w:after="0" w:line="93" w:lineRule="exact"/>
        <w:rPr>
          <w:sz w:val="20"/>
          <w:szCs w:val="20"/>
          <w:color w:val="auto"/>
        </w:rPr>
      </w:pPr>
    </w:p>
    <w:p>
      <w:pPr>
        <w:ind w:left="1360" w:right="419" w:firstLine="342"/>
        <w:spacing w:after="0" w:line="266" w:lineRule="auto"/>
        <w:rPr>
          <w:sz w:val="20"/>
          <w:szCs w:val="20"/>
          <w:color w:val="auto"/>
        </w:rPr>
      </w:pPr>
      <w:r>
        <w:rPr>
          <w:rFonts w:ascii="Times New Roman" w:cs="Times New Roman" w:eastAsia="Times New Roman" w:hAnsi="Times New Roman"/>
          <w:sz w:val="14"/>
          <w:szCs w:val="14"/>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Repurchase and Surrender of Shares</w:t>
      </w:r>
    </w:p>
    <w:p>
      <w:pPr>
        <w:spacing w:after="0" w:line="93" w:lineRule="exact"/>
        <w:rPr>
          <w:sz w:val="20"/>
          <w:szCs w:val="20"/>
          <w:color w:val="auto"/>
        </w:rPr>
      </w:pPr>
    </w:p>
    <w:p>
      <w:pPr>
        <w:ind w:left="1360" w:right="259" w:firstLine="342"/>
        <w:spacing w:after="0" w:line="254" w:lineRule="auto"/>
        <w:rPr>
          <w:sz w:val="20"/>
          <w:szCs w:val="20"/>
          <w:color w:val="auto"/>
        </w:rPr>
      </w:pPr>
      <w:r>
        <w:rPr>
          <w:rFonts w:ascii="Times New Roman" w:cs="Times New Roman" w:eastAsia="Times New Roman" w:hAnsi="Times New Roman"/>
          <w:sz w:val="14"/>
          <w:szCs w:val="14"/>
          <w:color w:val="auto"/>
        </w:rPr>
        <w:t>We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our company has commenced liquidation. In addition, our company may accept the surrender of any fully paid share for no consideration.</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Variations of Rights of Shares</w:t>
      </w:r>
    </w:p>
    <w:p>
      <w:pPr>
        <w:spacing w:after="0" w:line="93" w:lineRule="exact"/>
        <w:rPr>
          <w:sz w:val="20"/>
          <w:szCs w:val="20"/>
          <w:color w:val="auto"/>
        </w:rPr>
      </w:pPr>
    </w:p>
    <w:p>
      <w:pPr>
        <w:ind w:left="1360" w:right="279" w:firstLine="342"/>
        <w:spacing w:after="0" w:line="254" w:lineRule="auto"/>
        <w:rPr>
          <w:sz w:val="20"/>
          <w:szCs w:val="20"/>
          <w:color w:val="auto"/>
        </w:rPr>
      </w:pPr>
      <w:r>
        <w:rPr>
          <w:rFonts w:ascii="Times New Roman" w:cs="Times New Roman" w:eastAsia="Times New Roman" w:hAnsi="Times New Roman"/>
          <w:sz w:val="14"/>
          <w:szCs w:val="14"/>
          <w:color w:val="auto"/>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that class or series.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or subsequent to such existing class of shares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Shares</w:t>
      </w:r>
    </w:p>
    <w:p>
      <w:pPr>
        <w:spacing w:after="0" w:line="93" w:lineRule="exact"/>
        <w:rPr>
          <w:sz w:val="20"/>
          <w:szCs w:val="20"/>
          <w:color w:val="auto"/>
        </w:rPr>
      </w:pPr>
    </w:p>
    <w:p>
      <w:pPr>
        <w:ind w:left="1360" w:right="319" w:firstLine="342"/>
        <w:spacing w:after="0" w:line="282" w:lineRule="auto"/>
        <w:rPr>
          <w:sz w:val="20"/>
          <w:szCs w:val="20"/>
          <w:color w:val="auto"/>
        </w:rPr>
      </w:pPr>
      <w:r>
        <w:rPr>
          <w:rFonts w:ascii="Times New Roman" w:cs="Times New Roman" w:eastAsia="Times New Roman" w:hAnsi="Times New Roman"/>
          <w:sz w:val="14"/>
          <w:szCs w:val="14"/>
          <w:color w:val="auto"/>
        </w:rPr>
        <w:t>Our Charter authorizes our Board of Directors to issue additional Ordinary Shares from time to time as our Board of Directors shall determine, to the extent of available authorized but unissued shares.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79" w:firstLine="342"/>
        <w:spacing w:after="0" w:line="282" w:lineRule="auto"/>
        <w:rPr>
          <w:sz w:val="20"/>
          <w:szCs w:val="20"/>
          <w:color w:val="auto"/>
        </w:rPr>
      </w:pPr>
      <w:r>
        <w:rPr>
          <w:rFonts w:ascii="Times New Roman" w:cs="Times New Roman" w:eastAsia="Times New Roman" w:hAnsi="Times New Roman"/>
          <w:sz w:val="14"/>
          <w:szCs w:val="14"/>
          <w:color w:val="auto"/>
        </w:rPr>
        <w:t>Our Charter also authorizes our Board of Directors to establish from time to time one or more series of preferred shares and to determine, with respect to any series of preferred shares, the terms and rights of that series, including:</w:t>
      </w:r>
    </w:p>
    <w:p>
      <w:pPr>
        <w:spacing w:after="0" w:line="52" w:lineRule="exact"/>
        <w:rPr>
          <w:sz w:val="20"/>
          <w:szCs w:val="20"/>
          <w:color w:val="auto"/>
        </w:rPr>
      </w:pPr>
    </w:p>
    <w:p>
      <w:pPr>
        <w:ind w:left="2120" w:hanging="33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dividend rates, conversion rights, voting rights; and</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terms of redemption and liquidation preferences.</w:t>
      </w:r>
    </w:p>
    <w:p>
      <w:pPr>
        <w:spacing w:after="0" w:line="175" w:lineRule="exact"/>
        <w:rPr>
          <w:sz w:val="20"/>
          <w:szCs w:val="20"/>
          <w:color w:val="auto"/>
        </w:rPr>
      </w:pPr>
    </w:p>
    <w:p>
      <w:pPr>
        <w:ind w:left="1360" w:right="539" w:firstLine="342"/>
        <w:spacing w:after="0" w:line="282" w:lineRule="auto"/>
        <w:rPr>
          <w:sz w:val="20"/>
          <w:szCs w:val="20"/>
          <w:color w:val="auto"/>
        </w:rPr>
      </w:pPr>
      <w:r>
        <w:rPr>
          <w:rFonts w:ascii="Times New Roman" w:cs="Times New Roman" w:eastAsia="Times New Roman" w:hAnsi="Times New Roman"/>
          <w:sz w:val="14"/>
          <w:szCs w:val="14"/>
          <w:color w:val="auto"/>
        </w:rPr>
        <w:t>Our Board of Directors may issue preferred shares without action by our shareholders to the extent authorized but unissued. Issuance of these shares may dilute the voting power of holders of Ordinary Shares.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Inspection of Books and Records</w:t>
      </w:r>
    </w:p>
    <w:p>
      <w:pPr>
        <w:spacing w:after="0" w:line="93" w:lineRule="exact"/>
        <w:rPr>
          <w:sz w:val="20"/>
          <w:szCs w:val="20"/>
          <w:color w:val="auto"/>
        </w:rPr>
      </w:pPr>
    </w:p>
    <w:p>
      <w:pPr>
        <w:ind w:left="1360" w:right="379" w:firstLine="342"/>
        <w:spacing w:after="0" w:line="261" w:lineRule="auto"/>
        <w:rPr>
          <w:sz w:val="20"/>
          <w:szCs w:val="20"/>
          <w:color w:val="auto"/>
        </w:rPr>
      </w:pPr>
      <w:r>
        <w:rPr>
          <w:rFonts w:ascii="Times New Roman" w:cs="Times New Roman" w:eastAsia="Times New Roman" w:hAnsi="Times New Roman"/>
          <w:sz w:val="14"/>
          <w:szCs w:val="14"/>
          <w:color w:val="auto"/>
        </w:rPr>
        <w:t>Holders of our Ordinary Shares have no general right under Cayman Islands law to inspect or obtain copies of our list of shareholders or our corporate records (except for the Charter, special resolutions which have been passed by our shareholders, our register of mortgages and charges and a list of our current directors). However, we will provide our shareholders with annual audited consolidated financial statements. See “</w:t>
      </w:r>
      <w:r>
        <w:rPr>
          <w:rFonts w:ascii="Times New Roman" w:cs="Times New Roman" w:eastAsia="Times New Roman" w:hAnsi="Times New Roman"/>
          <w:sz w:val="14"/>
          <w:szCs w:val="14"/>
          <w:i w:val="1"/>
          <w:iCs w:val="1"/>
          <w:color w:val="auto"/>
        </w:rPr>
        <w:t>Where You Can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Find More Information; Incorporation by Reference</w:t>
      </w:r>
      <w:r>
        <w:rPr>
          <w:rFonts w:ascii="Times New Roman" w:cs="Times New Roman" w:eastAsia="Times New Roman" w:hAnsi="Times New Roman"/>
          <w:sz w:val="14"/>
          <w:szCs w:val="14"/>
          <w:color w:val="auto"/>
        </w:rPr>
        <w:t>.”</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93" w:lineRule="exact"/>
        <w:rPr>
          <w:sz w:val="20"/>
          <w:szCs w:val="20"/>
          <w:color w:val="auto"/>
        </w:rPr>
      </w:pPr>
    </w:p>
    <w:p>
      <w:pPr>
        <w:ind w:left="1360" w:right="599" w:firstLine="342"/>
        <w:spacing w:after="0" w:line="282" w:lineRule="auto"/>
        <w:rPr>
          <w:sz w:val="20"/>
          <w:szCs w:val="20"/>
          <w:color w:val="auto"/>
        </w:rPr>
      </w:pPr>
      <w:r>
        <w:rPr>
          <w:rFonts w:ascii="Times New Roman" w:cs="Times New Roman" w:eastAsia="Times New Roman" w:hAnsi="Times New Roman"/>
          <w:sz w:val="14"/>
          <w:szCs w:val="14"/>
          <w:color w:val="auto"/>
        </w:rPr>
        <w:t>Some provisions of our Charter may discourage, delay or prevent a change of control of our company or management that shareholders may consider favorable, including provisions that:</w:t>
      </w:r>
    </w:p>
    <w:p>
      <w:pPr>
        <w:spacing w:after="0" w:line="52" w:lineRule="exact"/>
        <w:rPr>
          <w:sz w:val="20"/>
          <w:szCs w:val="20"/>
          <w:color w:val="auto"/>
        </w:rPr>
      </w:pPr>
    </w:p>
    <w:p>
      <w:pPr>
        <w:ind w:left="2120" w:right="439" w:hanging="337"/>
        <w:spacing w:after="0" w:line="282"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shareholders to requisition and convene general meetings of shareholders.</w:t>
      </w:r>
    </w:p>
    <w:p>
      <w:pPr>
        <w:spacing w:after="0" w:line="175" w:lineRule="exact"/>
        <w:rPr>
          <w:sz w:val="20"/>
          <w:szCs w:val="20"/>
          <w:color w:val="auto"/>
        </w:rPr>
      </w:pPr>
    </w:p>
    <w:p>
      <w:pPr>
        <w:ind w:left="1360" w:right="539" w:firstLine="342"/>
        <w:spacing w:after="0" w:line="282" w:lineRule="auto"/>
        <w:rPr>
          <w:sz w:val="20"/>
          <w:szCs w:val="20"/>
          <w:color w:val="auto"/>
        </w:rPr>
      </w:pPr>
      <w:r>
        <w:rPr>
          <w:rFonts w:ascii="Times New Roman" w:cs="Times New Roman" w:eastAsia="Times New Roman" w:hAnsi="Times New Roman"/>
          <w:sz w:val="14"/>
          <w:szCs w:val="14"/>
          <w:color w:val="auto"/>
        </w:rPr>
        <w:t>However, under Cayman Islands law, our Board of Directors may only exercise the rights and powers granted to them under our Charter for a proper purpose and for what they believe in good faith to be in the best interests of our company.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Exempted Company</w:t>
      </w:r>
    </w:p>
    <w:p>
      <w:pPr>
        <w:spacing w:after="0" w:line="93" w:lineRule="exact"/>
        <w:rPr>
          <w:sz w:val="20"/>
          <w:szCs w:val="20"/>
          <w:color w:val="auto"/>
        </w:rPr>
      </w:pPr>
    </w:p>
    <w:p>
      <w:pPr>
        <w:ind w:left="1360" w:right="239" w:firstLine="342"/>
        <w:spacing w:after="0" w:line="261" w:lineRule="auto"/>
        <w:rPr>
          <w:sz w:val="20"/>
          <w:szCs w:val="20"/>
          <w:color w:val="auto"/>
        </w:rPr>
      </w:pPr>
      <w:r>
        <w:rPr>
          <w:rFonts w:ascii="Times New Roman" w:cs="Times New Roman" w:eastAsia="Times New Roman" w:hAnsi="Times New Roman"/>
          <w:sz w:val="14"/>
          <w:szCs w:val="14"/>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66" w:lineRule="exact"/>
        <w:rPr>
          <w:sz w:val="20"/>
          <w:szCs w:val="20"/>
          <w:color w:val="auto"/>
        </w:rPr>
      </w:pPr>
    </w:p>
    <w:p>
      <w:pPr>
        <w:ind w:left="2120" w:hanging="33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file an annual return of its shareholders with the Registrar of Companies;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required to open its register of members for inspection;</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hold an annual general meeting;</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issue shares with no par value;</w:t>
      </w:r>
    </w:p>
    <w:p>
      <w:pPr>
        <w:spacing w:after="0" w:line="101" w:lineRule="exact"/>
        <w:rPr>
          <w:rFonts w:ascii="Times New Roman" w:cs="Times New Roman" w:eastAsia="Times New Roman" w:hAnsi="Times New Roman"/>
          <w:sz w:val="14"/>
          <w:szCs w:val="14"/>
          <w:color w:val="auto"/>
        </w:rPr>
      </w:pPr>
    </w:p>
    <w:p>
      <w:pPr>
        <w:ind w:left="2120" w:right="639" w:hanging="337"/>
        <w:spacing w:after="0" w:line="282"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 (such undertakings are usually given for 30 years in the first instance);</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2120" w:hanging="337"/>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limited duration company; and</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91" w:lineRule="exact"/>
        <w:rPr>
          <w:sz w:val="20"/>
          <w:szCs w:val="20"/>
          <w:color w:val="auto"/>
        </w:rPr>
      </w:pPr>
    </w:p>
    <w:p>
      <w:pPr>
        <w:jc w:val="both"/>
        <w:ind w:left="1360" w:right="459" w:firstLine="342"/>
        <w:spacing w:after="0" w:line="266"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93" w:lineRule="exact"/>
        <w:rPr>
          <w:sz w:val="20"/>
          <w:szCs w:val="20"/>
          <w:color w:val="auto"/>
        </w:rPr>
      </w:pPr>
    </w:p>
    <w:p>
      <w:pPr>
        <w:ind w:left="1360" w:right="279" w:firstLine="342"/>
        <w:spacing w:after="0" w:line="258" w:lineRule="auto"/>
        <w:rPr>
          <w:sz w:val="20"/>
          <w:szCs w:val="20"/>
          <w:color w:val="auto"/>
        </w:rPr>
      </w:pPr>
      <w:r>
        <w:rPr>
          <w:rFonts w:ascii="Times New Roman" w:cs="Times New Roman" w:eastAsia="Times New Roman" w:hAnsi="Times New Roman"/>
          <w:sz w:val="14"/>
          <w:szCs w:val="14"/>
          <w:color w:val="auto"/>
        </w:rPr>
        <w:t>The Companies Act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differs from laws applicable to U.S. corporations and their shareholders. Set forth below is a summary of some significant differences between the provisions of the Companies Act applicable to us and the laws applicable to companies incorporated in the United States and their shareholders.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Arrangements</w:t>
      </w:r>
    </w:p>
    <w:p>
      <w:pPr>
        <w:spacing w:after="0" w:line="93" w:lineRule="exact"/>
        <w:rPr>
          <w:sz w:val="20"/>
          <w:szCs w:val="20"/>
          <w:color w:val="auto"/>
        </w:rPr>
      </w:pPr>
    </w:p>
    <w:p>
      <w:pPr>
        <w:ind w:left="1360" w:right="259" w:firstLine="342"/>
        <w:spacing w:after="0" w:line="253" w:lineRule="auto"/>
        <w:rPr>
          <w:sz w:val="20"/>
          <w:szCs w:val="20"/>
          <w:color w:val="auto"/>
        </w:rPr>
      </w:pPr>
      <w:r>
        <w:rPr>
          <w:rFonts w:ascii="Times New Roman" w:cs="Times New Roman" w:eastAsia="Times New Roman" w:hAnsi="Times New Roman"/>
          <w:sz w:val="14"/>
          <w:szCs w:val="14"/>
          <w:color w:val="auto"/>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48" w:lineRule="exact"/>
        <w:rPr>
          <w:sz w:val="20"/>
          <w:szCs w:val="20"/>
          <w:color w:val="auto"/>
        </w:rPr>
      </w:pPr>
    </w:p>
    <w:p>
      <w:pPr>
        <w:ind w:left="1360" w:right="499" w:firstLine="342"/>
        <w:spacing w:after="0" w:line="261" w:lineRule="auto"/>
        <w:rPr>
          <w:sz w:val="20"/>
          <w:szCs w:val="20"/>
          <w:color w:val="auto"/>
        </w:rPr>
      </w:pPr>
      <w:r>
        <w:rPr>
          <w:rFonts w:ascii="Times New Roman" w:cs="Times New Roman" w:eastAsia="Times New Roman" w:hAnsi="Times New Roman"/>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9" w:lineRule="exact"/>
        <w:rPr>
          <w:sz w:val="20"/>
          <w:szCs w:val="20"/>
          <w:color w:val="auto"/>
        </w:rPr>
      </w:pPr>
    </w:p>
    <w:p>
      <w:pPr>
        <w:ind w:left="1360" w:right="439" w:firstLine="342"/>
        <w:spacing w:after="0" w:line="282" w:lineRule="auto"/>
        <w:rPr>
          <w:sz w:val="20"/>
          <w:szCs w:val="20"/>
          <w:color w:val="auto"/>
        </w:rPr>
      </w:pPr>
      <w:r>
        <w:rPr>
          <w:rFonts w:ascii="Times New Roman" w:cs="Times New Roman" w:eastAsia="Times New Roman" w:hAnsi="Times New Roman"/>
          <w:sz w:val="14"/>
          <w:szCs w:val="14"/>
          <w:color w:val="auto"/>
        </w:rPr>
        <w:t>The consent of each holder of a fixed or floating security interest over a constituent company is required unless this requirement is waived by a court in the Cayman Islands.</w:t>
      </w:r>
    </w:p>
    <w:p>
      <w:pPr>
        <w:spacing w:after="0" w:line="125" w:lineRule="exact"/>
        <w:rPr>
          <w:sz w:val="20"/>
          <w:szCs w:val="20"/>
          <w:color w:val="auto"/>
        </w:rPr>
      </w:pPr>
    </w:p>
    <w:p>
      <w:pPr>
        <w:ind w:left="1360" w:right="279" w:firstLine="342"/>
        <w:spacing w:after="0" w:line="258" w:lineRule="auto"/>
        <w:rPr>
          <w:sz w:val="20"/>
          <w:szCs w:val="20"/>
          <w:color w:val="auto"/>
        </w:rPr>
      </w:pPr>
      <w:r>
        <w:rPr>
          <w:rFonts w:ascii="Times New Roman" w:cs="Times New Roman" w:eastAsia="Times New Roman" w:hAnsi="Times New Roman"/>
          <w:sz w:val="14"/>
          <w:szCs w:val="14"/>
          <w:color w:val="auto"/>
        </w:rPr>
        <w:t>Save in some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firstLine="342"/>
        <w:spacing w:after="0" w:line="254" w:lineRule="auto"/>
        <w:rPr>
          <w:sz w:val="20"/>
          <w:szCs w:val="20"/>
          <w:color w:val="auto"/>
        </w:rPr>
      </w:pPr>
      <w:r>
        <w:rPr>
          <w:rFonts w:ascii="Times New Roman" w:cs="Times New Roman" w:eastAsia="Times New Roman" w:hAnsi="Times New Roman"/>
          <w:sz w:val="14"/>
          <w:szCs w:val="14"/>
          <w:color w:val="auto"/>
        </w:rPr>
        <w:t>Separate from the statutory provisions relating to mergers and consolidations, the Companies Act also contains statutory provisions that facilitate the reconstruction and amalgamation of companies by way of schemes of arrangement between a company and its members (or any class of them), or between the company and its creditors (or any class of them), provided that the arrangement is approved by (a) 75% in value of the shareholders or class of shareholders, as the case may be, or (b) a majority in number representing 75% in value of the creditors or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5" w:lineRule="exact"/>
        <w:rPr>
          <w:sz w:val="20"/>
          <w:szCs w:val="20"/>
          <w:color w:val="auto"/>
        </w:rPr>
      </w:pPr>
    </w:p>
    <w:p>
      <w:pPr>
        <w:ind w:left="2120" w:hanging="33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101" w:lineRule="exact"/>
        <w:rPr>
          <w:rFonts w:ascii="Times New Roman" w:cs="Times New Roman" w:eastAsia="Times New Roman" w:hAnsi="Times New Roman"/>
          <w:sz w:val="14"/>
          <w:szCs w:val="14"/>
          <w:color w:val="auto"/>
        </w:rPr>
      </w:pPr>
    </w:p>
    <w:p>
      <w:pPr>
        <w:ind w:left="2120" w:right="279" w:hanging="337"/>
        <w:spacing w:after="0" w:line="282" w:lineRule="auto"/>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such that may be reasonably approved by an intelligent and honest man of that class acting in respect of his interest; and</w:t>
      </w:r>
    </w:p>
    <w:p>
      <w:pPr>
        <w:spacing w:after="0" w:line="112" w:lineRule="exact"/>
        <w:rPr>
          <w:rFonts w:ascii="Times New Roman" w:cs="Times New Roman" w:eastAsia="Times New Roman" w:hAnsi="Times New Roman"/>
          <w:sz w:val="13"/>
          <w:szCs w:val="13"/>
          <w:color w:val="auto"/>
        </w:rPr>
      </w:pPr>
    </w:p>
    <w:p>
      <w:pPr>
        <w:ind w:left="2120" w:hanging="337"/>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w:t>
      </w:r>
    </w:p>
    <w:p>
      <w:pPr>
        <w:spacing w:after="0" w:line="175" w:lineRule="exact"/>
        <w:rPr>
          <w:sz w:val="20"/>
          <w:szCs w:val="20"/>
          <w:color w:val="auto"/>
        </w:rPr>
      </w:pPr>
    </w:p>
    <w:p>
      <w:pPr>
        <w:ind w:left="1360" w:right="319" w:firstLine="342"/>
        <w:spacing w:after="0" w:line="258" w:lineRule="auto"/>
        <w:rPr>
          <w:sz w:val="20"/>
          <w:szCs w:val="20"/>
          <w:color w:val="auto"/>
        </w:rPr>
      </w:pPr>
      <w:r>
        <w:rPr>
          <w:rFonts w:ascii="Times New Roman" w:cs="Times New Roman" w:eastAsia="Times New Roman" w:hAnsi="Times New Roman"/>
          <w:sz w:val="14"/>
          <w:szCs w:val="14"/>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42" w:lineRule="exact"/>
        <w:rPr>
          <w:sz w:val="20"/>
          <w:szCs w:val="20"/>
          <w:color w:val="auto"/>
        </w:rPr>
      </w:pPr>
    </w:p>
    <w:p>
      <w:pPr>
        <w:ind w:left="1360" w:right="319" w:firstLine="342"/>
        <w:spacing w:after="0" w:line="261" w:lineRule="auto"/>
        <w:rPr>
          <w:sz w:val="20"/>
          <w:szCs w:val="20"/>
          <w:color w:val="auto"/>
        </w:rPr>
      </w:pPr>
      <w:r>
        <w:rPr>
          <w:rFonts w:ascii="Times New Roman" w:cs="Times New Roman" w:eastAsia="Times New Roman" w:hAnsi="Times New Roman"/>
          <w:sz w:val="14"/>
          <w:szCs w:val="14"/>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Shareholders’ Suits</w:t>
      </w:r>
    </w:p>
    <w:p>
      <w:pPr>
        <w:spacing w:after="0" w:line="93" w:lineRule="exact"/>
        <w:rPr>
          <w:sz w:val="20"/>
          <w:szCs w:val="20"/>
          <w:color w:val="auto"/>
        </w:rPr>
      </w:pPr>
    </w:p>
    <w:p>
      <w:pPr>
        <w:ind w:left="1360" w:right="299" w:firstLine="342"/>
        <w:spacing w:after="0" w:line="258" w:lineRule="auto"/>
        <w:rPr>
          <w:sz w:val="20"/>
          <w:szCs w:val="20"/>
          <w:color w:val="auto"/>
        </w:rPr>
      </w:pPr>
      <w:r>
        <w:rPr>
          <w:rFonts w:ascii="Times New Roman" w:cs="Times New Roman" w:eastAsia="Times New Roman" w:hAnsi="Times New Roman"/>
          <w:sz w:val="14"/>
          <w:szCs w:val="14"/>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69" w:lineRule="exact"/>
        <w:rPr>
          <w:sz w:val="20"/>
          <w:szCs w:val="20"/>
          <w:color w:val="auto"/>
        </w:rPr>
      </w:pPr>
    </w:p>
    <w:p>
      <w:pPr>
        <w:ind w:left="2120" w:hanging="337"/>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is ultra vires or illegal and is therefore incapable of ratification by the shareholders;</w:t>
      </w:r>
    </w:p>
    <w:p>
      <w:pPr>
        <w:spacing w:after="0" w:line="99" w:lineRule="exact"/>
        <w:rPr>
          <w:rFonts w:ascii="Times New Roman" w:cs="Times New Roman" w:eastAsia="Times New Roman" w:hAnsi="Times New Roman"/>
          <w:sz w:val="14"/>
          <w:szCs w:val="14"/>
          <w:color w:val="auto"/>
        </w:rPr>
      </w:pPr>
    </w:p>
    <w:p>
      <w:pPr>
        <w:ind w:left="2120" w:right="359" w:hanging="337"/>
        <w:spacing w:after="0" w:line="285"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act complained of, although not </w:t>
      </w:r>
      <w:r>
        <w:rPr>
          <w:rFonts w:ascii="Times New Roman" w:cs="Times New Roman" w:eastAsia="Times New Roman" w:hAnsi="Times New Roman"/>
          <w:sz w:val="14"/>
          <w:szCs w:val="14"/>
          <w:i w:val="1"/>
          <w:iCs w:val="1"/>
          <w:color w:val="auto"/>
        </w:rPr>
        <w:t>ultra vires</w:t>
      </w:r>
      <w:r>
        <w:rPr>
          <w:rFonts w:ascii="Times New Roman" w:cs="Times New Roman" w:eastAsia="Times New Roman" w:hAnsi="Times New Roman"/>
          <w:sz w:val="14"/>
          <w:szCs w:val="14"/>
          <w:color w:val="auto"/>
        </w:rPr>
        <w:t>, could only be effected duly if authorized by more than a simple majority vote that has not been obtained; and</w:t>
      </w:r>
    </w:p>
    <w:p>
      <w:pPr>
        <w:spacing w:after="0" w:line="49"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who control the company are perpetrating a “fraud on the minority.”</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of Directors and Executive Officers and Limitation of Liability</w:t>
      </w:r>
    </w:p>
    <w:p>
      <w:pPr>
        <w:spacing w:after="0" w:line="93" w:lineRule="exact"/>
        <w:rPr>
          <w:sz w:val="20"/>
          <w:szCs w:val="20"/>
          <w:color w:val="auto"/>
        </w:rPr>
      </w:pPr>
    </w:p>
    <w:p>
      <w:pPr>
        <w:ind w:left="1360" w:right="379" w:firstLine="342"/>
        <w:spacing w:after="0" w:line="282"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the Cayman Islands courts to be contrary to public policy, such as to provide indemnification against civil fraud or the consequences of committing a crime. Our Charter provides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48" w:lineRule="exact"/>
        <w:rPr>
          <w:sz w:val="20"/>
          <w:szCs w:val="20"/>
          <w:color w:val="auto"/>
        </w:rPr>
      </w:pPr>
    </w:p>
    <w:p>
      <w:pPr>
        <w:ind w:left="1360" w:right="519" w:firstLine="342"/>
        <w:spacing w:after="0" w:line="282"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specific executive officers that provide such persons with additional indemnification beyond that provided in our Charter.</w:t>
      </w:r>
    </w:p>
    <w:p>
      <w:pPr>
        <w:spacing w:after="0" w:line="125" w:lineRule="exact"/>
        <w:rPr>
          <w:sz w:val="20"/>
          <w:szCs w:val="20"/>
          <w:color w:val="auto"/>
        </w:rPr>
      </w:pPr>
    </w:p>
    <w:p>
      <w:pPr>
        <w:ind w:left="1360" w:right="279" w:firstLine="342"/>
        <w:spacing w:after="0" w:line="26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Directors’ Fiduciary Duties</w:t>
      </w:r>
    </w:p>
    <w:p>
      <w:pPr>
        <w:spacing w:after="0" w:line="93" w:lineRule="exact"/>
        <w:rPr>
          <w:sz w:val="20"/>
          <w:szCs w:val="20"/>
          <w:color w:val="auto"/>
        </w:rPr>
      </w:pPr>
    </w:p>
    <w:p>
      <w:pPr>
        <w:ind w:left="1360" w:right="239" w:firstLine="342"/>
        <w:spacing w:after="0" w:line="253" w:lineRule="auto"/>
        <w:rPr>
          <w:sz w:val="20"/>
          <w:szCs w:val="20"/>
          <w:color w:val="auto"/>
        </w:rPr>
      </w:pPr>
      <w:r>
        <w:rPr>
          <w:rFonts w:ascii="Times New Roman" w:cs="Times New Roman" w:eastAsia="Times New Roman" w:hAnsi="Times New Roman"/>
          <w:sz w:val="14"/>
          <w:szCs w:val="14"/>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50" w:lineRule="exact"/>
        <w:rPr>
          <w:sz w:val="20"/>
          <w:szCs w:val="20"/>
          <w:color w:val="auto"/>
        </w:rPr>
      </w:pPr>
    </w:p>
    <w:p>
      <w:pPr>
        <w:ind w:left="1360" w:right="279" w:firstLine="342"/>
        <w:spacing w:after="0" w:line="254" w:lineRule="auto"/>
        <w:rPr>
          <w:sz w:val="20"/>
          <w:szCs w:val="20"/>
          <w:color w:val="auto"/>
        </w:rPr>
      </w:pPr>
      <w:r>
        <w:rPr>
          <w:rFonts w:ascii="Times New Roman" w:cs="Times New Roman" w:eastAsia="Times New Roman" w:hAnsi="Times New Roman"/>
          <w:sz w:val="14"/>
          <w:szCs w:val="14"/>
          <w:color w:val="auto"/>
        </w:rPr>
        <w:t>As a matter of Cayman Islands law, a director of a Cayman Islands company is in the position of a fiduciary with respect to the company and therefore it is considered that he or she owes the following duties to the company – a duty to act bona fide in the best interests of the company, a duty not to make a profit based on his or her position as director (unless the company permits them to do so), a duty not to put himself or herself in a position where the interests of the company conflict with his or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Resolution</w:t>
      </w:r>
    </w:p>
    <w:p>
      <w:pPr>
        <w:spacing w:after="0" w:line="93" w:lineRule="exact"/>
        <w:rPr>
          <w:sz w:val="20"/>
          <w:szCs w:val="20"/>
          <w:color w:val="auto"/>
        </w:rPr>
      </w:pPr>
    </w:p>
    <w:p>
      <w:pPr>
        <w:ind w:left="1360" w:right="239" w:firstLine="342"/>
        <w:spacing w:after="0" w:line="282"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eliminate the right of shareholders to act by written consent by amendment to its certificate of incorporation. Cayman Islands law and our Charter provide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419"/>
        <w:spacing w:after="0" w:line="282" w:lineRule="auto"/>
        <w:rPr>
          <w:sz w:val="20"/>
          <w:szCs w:val="20"/>
          <w:color w:val="auto"/>
        </w:rPr>
      </w:pPr>
      <w:r>
        <w:rPr>
          <w:rFonts w:ascii="Times New Roman" w:cs="Times New Roman" w:eastAsia="Times New Roman" w:hAnsi="Times New Roman"/>
          <w:sz w:val="14"/>
          <w:szCs w:val="14"/>
          <w:color w:val="auto"/>
        </w:rPr>
        <w:t>that our shareholders may approve corporate matters by way of a unanimous written resolution signed by or on behalf of each shareholder who would have been entitled to vote on such matter at a general meeting without a meeting being held.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93" w:lineRule="exact"/>
        <w:rPr>
          <w:sz w:val="20"/>
          <w:szCs w:val="20"/>
          <w:color w:val="auto"/>
        </w:rPr>
      </w:pPr>
    </w:p>
    <w:p>
      <w:pPr>
        <w:ind w:left="1360" w:right="259" w:firstLine="342"/>
        <w:spacing w:after="0" w:line="266" w:lineRule="auto"/>
        <w:rPr>
          <w:sz w:val="20"/>
          <w:szCs w:val="20"/>
          <w:color w:val="auto"/>
        </w:rPr>
      </w:pPr>
      <w:r>
        <w:rPr>
          <w:rFonts w:ascii="Times New Roman" w:cs="Times New Roman" w:eastAsia="Times New Roman" w:hAnsi="Times New Roman"/>
          <w:sz w:val="14"/>
          <w:szCs w:val="14"/>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36" w:lineRule="exact"/>
        <w:rPr>
          <w:sz w:val="20"/>
          <w:szCs w:val="20"/>
          <w:color w:val="auto"/>
        </w:rPr>
      </w:pPr>
    </w:p>
    <w:p>
      <w:pPr>
        <w:ind w:left="1360" w:right="239" w:firstLine="342"/>
        <w:spacing w:after="0" w:line="254" w:lineRule="auto"/>
        <w:rPr>
          <w:sz w:val="20"/>
          <w:szCs w:val="20"/>
          <w:color w:val="auto"/>
        </w:rPr>
      </w:pPr>
      <w:r>
        <w:rPr>
          <w:rFonts w:ascii="Times New Roman" w:cs="Times New Roman" w:eastAsia="Times New Roman" w:hAnsi="Times New Roman"/>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Charter allows our shareholders holding shares which carry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Charter does not provide our shareholders with any other right to put proposals before annual general meetings or extraordinary general meetings not called by such shareholders. As an exempted Cayman Islands company, we may but are not obliged by law to call shareholders’ annual general meetings.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Cumulative Voting</w:t>
      </w:r>
    </w:p>
    <w:p>
      <w:pPr>
        <w:spacing w:after="0" w:line="93" w:lineRule="exact"/>
        <w:rPr>
          <w:sz w:val="20"/>
          <w:szCs w:val="20"/>
          <w:color w:val="auto"/>
        </w:rPr>
      </w:pPr>
    </w:p>
    <w:p>
      <w:pPr>
        <w:ind w:left="1360" w:right="319" w:firstLine="342"/>
        <w:spacing w:after="0" w:line="256" w:lineRule="auto"/>
        <w:rPr>
          <w:sz w:val="20"/>
          <w:szCs w:val="20"/>
          <w:color w:val="auto"/>
        </w:rPr>
      </w:pPr>
      <w:r>
        <w:rPr>
          <w:rFonts w:ascii="Times New Roman" w:cs="Times New Roman" w:eastAsia="Times New Roman" w:hAnsi="Times New Roman"/>
          <w:sz w:val="14"/>
          <w:szCs w:val="14"/>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Charter does not provide for cumulative voting. As a result, our shareholders are not afforded any less protections or rights on this issue than shareholders of a Delaware corporation.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93" w:lineRule="exact"/>
        <w:rPr>
          <w:sz w:val="20"/>
          <w:szCs w:val="20"/>
          <w:color w:val="auto"/>
        </w:rPr>
      </w:pPr>
    </w:p>
    <w:p>
      <w:pPr>
        <w:ind w:left="1360" w:right="339" w:firstLine="342"/>
        <w:spacing w:after="0" w:line="277" w:lineRule="auto"/>
        <w:rPr>
          <w:sz w:val="20"/>
          <w:szCs w:val="20"/>
          <w:color w:val="auto"/>
        </w:rPr>
      </w:pPr>
      <w:r>
        <w:rPr>
          <w:rFonts w:ascii="Times New Roman" w:cs="Times New Roman" w:eastAsia="Times New Roman" w:hAnsi="Times New Roman"/>
          <w:sz w:val="13"/>
          <w:szCs w:val="13"/>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Charter, directors may be removed with or without cause, by an ordinary resolution of our shareholders. In addition, a director’s office shall be vacated if the director</w:t>
      </w:r>
    </w:p>
    <w:p>
      <w:pPr>
        <w:spacing w:after="0" w:line="1" w:lineRule="exact"/>
        <w:rPr>
          <w:sz w:val="20"/>
          <w:szCs w:val="20"/>
          <w:color w:val="auto"/>
        </w:rPr>
      </w:pPr>
    </w:p>
    <w:p>
      <w:pPr>
        <w:ind w:left="1360" w:right="279" w:firstLine="3"/>
        <w:spacing w:after="0" w:line="253" w:lineRule="auto"/>
        <w:tabs>
          <w:tab w:leader="none" w:pos="152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becomes bankrupt or makes any arrangement or composition with his creditors; (ii) is found to be or becomes of unsound mind or dies; (iii) resigns his or her office by notice in writing to the company; (iv) without special leave of absence from our Board of Directors, is absent from three consecutive meetings of the Board and the Board resolves that his or her office be vacated; or (v) is removed from office pursuant to any other provisions of our Charter.</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Interested Shareholders</w:t>
      </w:r>
    </w:p>
    <w:p>
      <w:pPr>
        <w:spacing w:after="0" w:line="93" w:lineRule="exact"/>
        <w:rPr>
          <w:sz w:val="20"/>
          <w:szCs w:val="20"/>
          <w:color w:val="auto"/>
        </w:rPr>
      </w:pPr>
    </w:p>
    <w:p>
      <w:pPr>
        <w:ind w:left="1360" w:right="279" w:firstLine="342"/>
        <w:spacing w:after="0" w:line="261" w:lineRule="auto"/>
        <w:rPr>
          <w:sz w:val="20"/>
          <w:szCs w:val="20"/>
          <w:color w:val="auto"/>
        </w:rPr>
      </w:pPr>
      <w:r>
        <w:rPr>
          <w:rFonts w:ascii="Times New Roman" w:cs="Times New Roman" w:eastAsia="Times New Roman" w:hAnsi="Times New Roman"/>
          <w:sz w:val="14"/>
          <w:szCs w:val="14"/>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various business combinations with an “interested shareholder” for three years following the date that such person becomes an interested shareholder. An interested shareholder generally is a person or a group who or which owns or owned 15% or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42" w:lineRule="exact"/>
        <w:rPr>
          <w:sz w:val="20"/>
          <w:szCs w:val="20"/>
          <w:color w:val="auto"/>
        </w:rPr>
      </w:pPr>
    </w:p>
    <w:p>
      <w:pPr>
        <w:ind w:left="1360" w:right="239" w:firstLine="342"/>
        <w:spacing w:after="0" w:line="261" w:lineRule="auto"/>
        <w:rPr>
          <w:sz w:val="20"/>
          <w:szCs w:val="20"/>
          <w:color w:val="auto"/>
        </w:rPr>
      </w:pPr>
      <w:r>
        <w:rPr>
          <w:rFonts w:ascii="Times New Roman" w:cs="Times New Roman" w:eastAsia="Times New Roman" w:hAnsi="Times New Roman"/>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p>
      <w:pPr>
        <w:spacing w:after="0" w:line="93" w:lineRule="exact"/>
        <w:rPr>
          <w:sz w:val="20"/>
          <w:szCs w:val="20"/>
          <w:color w:val="auto"/>
        </w:rPr>
      </w:pPr>
    </w:p>
    <w:p>
      <w:pPr>
        <w:ind w:left="1360" w:right="639"/>
        <w:spacing w:after="0" w:line="282" w:lineRule="auto"/>
        <w:rPr>
          <w:sz w:val="20"/>
          <w:szCs w:val="20"/>
          <w:color w:val="auto"/>
        </w:rPr>
      </w:pPr>
      <w:r>
        <w:rPr>
          <w:rFonts w:ascii="Times New Roman" w:cs="Times New Roman" w:eastAsia="Times New Roman" w:hAnsi="Times New Roman"/>
          <w:sz w:val="14"/>
          <w:szCs w:val="14"/>
          <w:color w:val="auto"/>
        </w:rPr>
        <w:t>A company may present a petition to the Grand Court of the Cayman Islands for the appointment of a restructuring officer on the grounds that the company:</w:t>
      </w:r>
    </w:p>
    <w:p>
      <w:pPr>
        <w:spacing w:after="0" w:line="125" w:lineRule="exact"/>
        <w:rPr>
          <w:sz w:val="20"/>
          <w:szCs w:val="20"/>
          <w:color w:val="auto"/>
        </w:rPr>
      </w:pPr>
    </w:p>
    <w:p>
      <w:pPr>
        <w:ind w:left="1560" w:hanging="197"/>
        <w:spacing w:after="0"/>
        <w:tabs>
          <w:tab w:leader="none" w:pos="1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is likely to become unable to pay its debts; and</w:t>
      </w:r>
    </w:p>
    <w:p>
      <w:pPr>
        <w:spacing w:after="0" w:line="174" w:lineRule="exact"/>
        <w:rPr>
          <w:rFonts w:ascii="Times New Roman" w:cs="Times New Roman" w:eastAsia="Times New Roman" w:hAnsi="Times New Roman"/>
          <w:sz w:val="14"/>
          <w:szCs w:val="14"/>
          <w:color w:val="auto"/>
        </w:rPr>
      </w:pPr>
    </w:p>
    <w:p>
      <w:pPr>
        <w:ind w:left="1360" w:right="699" w:firstLine="3"/>
        <w:spacing w:after="0" w:line="282" w:lineRule="auto"/>
        <w:tabs>
          <w:tab w:leader="none" w:pos="155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intends to present a compromise or arrangement to its creditors (or classes thereof) either pursuant to the Companies Act, the law of a foreign country or by way of a consensual restructuring.</w:t>
      </w:r>
    </w:p>
    <w:p>
      <w:pPr>
        <w:spacing w:after="0" w:line="125"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The Grand Court may, among other things, make an order appointing a restructuring officer upon hearing of such petition, and any restructuring officer so appointed shall have such powers and carry out only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and subject to such terms as the court may impose.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Dissolution; Winding up</w:t>
      </w:r>
    </w:p>
    <w:p>
      <w:pPr>
        <w:spacing w:after="0" w:line="93" w:lineRule="exact"/>
        <w:rPr>
          <w:sz w:val="20"/>
          <w:szCs w:val="20"/>
          <w:color w:val="auto"/>
        </w:rPr>
      </w:pPr>
    </w:p>
    <w:p>
      <w:pPr>
        <w:ind w:left="1360" w:right="319" w:firstLine="342"/>
        <w:spacing w:after="0" w:line="261" w:lineRule="auto"/>
        <w:rPr>
          <w:sz w:val="20"/>
          <w:szCs w:val="20"/>
          <w:color w:val="auto"/>
        </w:rPr>
      </w:pPr>
      <w:r>
        <w:rPr>
          <w:rFonts w:ascii="Times New Roman" w:cs="Times New Roman" w:eastAsia="Times New Roman" w:hAnsi="Times New Roman"/>
          <w:sz w:val="14"/>
          <w:szCs w:val="14"/>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39" w:lineRule="exact"/>
        <w:rPr>
          <w:sz w:val="20"/>
          <w:szCs w:val="20"/>
          <w:color w:val="auto"/>
        </w:rPr>
      </w:pPr>
    </w:p>
    <w:p>
      <w:pPr>
        <w:ind w:left="1360" w:right="239" w:firstLine="342"/>
        <w:spacing w:after="0" w:line="266" w:lineRule="auto"/>
        <w:rPr>
          <w:sz w:val="20"/>
          <w:szCs w:val="20"/>
          <w:color w:val="auto"/>
        </w:rPr>
      </w:pPr>
      <w:r>
        <w:rPr>
          <w:rFonts w:ascii="Times New Roman" w:cs="Times New Roman" w:eastAsia="Times New Roman" w:hAnsi="Times New Roman"/>
          <w:sz w:val="14"/>
          <w:szCs w:val="14"/>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Variation of Rights of Shares</w:t>
      </w:r>
    </w:p>
    <w:p>
      <w:pPr>
        <w:spacing w:after="0" w:line="93" w:lineRule="exact"/>
        <w:rPr>
          <w:sz w:val="20"/>
          <w:szCs w:val="20"/>
          <w:color w:val="auto"/>
        </w:rPr>
      </w:pPr>
    </w:p>
    <w:p>
      <w:pPr>
        <w:ind w:left="1360" w:right="719" w:firstLine="342"/>
        <w:spacing w:after="0" w:line="282"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vary the rights of a class of shares with the approval of a majority of the outstanding shares of such class, unless the certificate of incorporation provides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jc w:val="both"/>
        <w:ind w:left="1360" w:right="279"/>
        <w:spacing w:after="0" w:line="266" w:lineRule="auto"/>
        <w:rPr>
          <w:sz w:val="20"/>
          <w:szCs w:val="20"/>
          <w:color w:val="auto"/>
        </w:rPr>
      </w:pPr>
      <w:r>
        <w:rPr>
          <w:rFonts w:ascii="Times New Roman" w:cs="Times New Roman" w:eastAsia="Times New Roman" w:hAnsi="Times New Roman"/>
          <w:sz w:val="14"/>
          <w:szCs w:val="14"/>
          <w:color w:val="auto"/>
        </w:rPr>
        <w:t>otherwise. Under Cayman Islands law and our Charter,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of Governing Documents</w:t>
      </w:r>
    </w:p>
    <w:p>
      <w:pPr>
        <w:spacing w:after="0" w:line="93" w:lineRule="exact"/>
        <w:rPr>
          <w:sz w:val="20"/>
          <w:szCs w:val="20"/>
          <w:color w:val="auto"/>
        </w:rPr>
      </w:pPr>
    </w:p>
    <w:p>
      <w:pPr>
        <w:ind w:left="1360" w:right="479" w:firstLine="342"/>
        <w:spacing w:after="0" w:line="266" w:lineRule="auto"/>
        <w:rPr>
          <w:sz w:val="20"/>
          <w:szCs w:val="20"/>
          <w:color w:val="auto"/>
        </w:rPr>
      </w:pPr>
      <w:r>
        <w:rPr>
          <w:rFonts w:ascii="Times New Roman" w:cs="Times New Roman" w:eastAsia="Times New Roman" w:hAnsi="Times New Roman"/>
          <w:sz w:val="14"/>
          <w:szCs w:val="14"/>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Charter, our Charter may only be amended by a special resolution of our shareholders.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Rights of Non-resident or Foreign Shareholders</w:t>
      </w:r>
    </w:p>
    <w:p>
      <w:pPr>
        <w:spacing w:after="0" w:line="93" w:lineRule="exact"/>
        <w:rPr>
          <w:sz w:val="20"/>
          <w:szCs w:val="20"/>
          <w:color w:val="auto"/>
        </w:rPr>
      </w:pPr>
    </w:p>
    <w:p>
      <w:pPr>
        <w:ind w:left="1360" w:right="499" w:firstLine="342"/>
        <w:spacing w:after="0" w:line="322" w:lineRule="auto"/>
        <w:rPr>
          <w:sz w:val="20"/>
          <w:szCs w:val="20"/>
          <w:color w:val="auto"/>
        </w:rPr>
      </w:pPr>
      <w:r>
        <w:rPr>
          <w:rFonts w:ascii="Times New Roman" w:cs="Times New Roman" w:eastAsia="Times New Roman" w:hAnsi="Times New Roman"/>
          <w:sz w:val="13"/>
          <w:szCs w:val="13"/>
          <w:color w:val="auto"/>
        </w:rPr>
        <w:t>There are no limitations imposed by our Charter on the rights of non-resident or foreign shareholders to hold or exercise voting rights on our shares. In addition, there are no provisions in our Charter governing the ownership threshold above which shareholder ownership must be disclosed.</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transfer agent and registrar for our Ordinary Shares is Computershare Trust Company, N.A.</w:t>
      </w:r>
    </w:p>
    <w:p>
      <w:pPr>
        <w:spacing w:after="0" w:line="2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Ordinary Shares are listed on the Nasdaq Global Market under the symbol “CNTB.”</w:t>
      </w:r>
    </w:p>
    <w:p>
      <w:pPr>
        <w:spacing w:after="0" w:line="1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7" w:lineRule="exact"/>
        <w:rPr>
          <w:sz w:val="20"/>
          <w:szCs w:val="20"/>
          <w:color w:val="auto"/>
        </w:rPr>
      </w:pPr>
    </w:p>
    <w:p>
      <w:pPr>
        <w:ind w:left="1360" w:right="319"/>
        <w:spacing w:after="0" w:line="282" w:lineRule="auto"/>
        <w:rPr>
          <w:sz w:val="20"/>
          <w:szCs w:val="20"/>
          <w:color w:val="auto"/>
        </w:rPr>
      </w:pPr>
      <w:r>
        <w:rPr>
          <w:rFonts w:ascii="Times New Roman" w:cs="Times New Roman" w:eastAsia="Times New Roman" w:hAnsi="Times New Roman"/>
          <w:sz w:val="14"/>
          <w:szCs w:val="14"/>
          <w:color w:val="auto"/>
        </w:rPr>
        <w:t>This prospectus covers the resale or other disposition from time to time by the selling securityholders identified in the table below of up to an aggregate of 6,130,000 Ordinary Shares.</w:t>
      </w:r>
    </w:p>
    <w:p>
      <w:pPr>
        <w:spacing w:after="0" w:line="125" w:lineRule="exact"/>
        <w:rPr>
          <w:sz w:val="20"/>
          <w:szCs w:val="20"/>
          <w:color w:val="auto"/>
        </w:rPr>
      </w:pPr>
    </w:p>
    <w:p>
      <w:pPr>
        <w:ind w:left="1360" w:right="299"/>
        <w:spacing w:after="0" w:line="266" w:lineRule="auto"/>
        <w:rPr>
          <w:sz w:val="20"/>
          <w:szCs w:val="20"/>
          <w:color w:val="auto"/>
        </w:rPr>
      </w:pPr>
      <w:r>
        <w:rPr>
          <w:rFonts w:ascii="Times New Roman" w:cs="Times New Roman" w:eastAsia="Times New Roman" w:hAnsi="Times New Roman"/>
          <w:sz w:val="14"/>
          <w:szCs w:val="14"/>
          <w:color w:val="auto"/>
        </w:rPr>
        <w:t>On March 29, 2026, we entered into a securities purchase agreement with the selling securityholders (the “Purchase Agreement”), pursuant to which we sold in a private placement 6,130,000 Ordinary Shares at a price of $3.25 per share with respect to any purchaser that is not owned or controlled by an individual who is one of our officers, directors, employees or consultants, for an aggregate price of approximately $20.2 million.</w:t>
      </w:r>
    </w:p>
    <w:p>
      <w:pPr>
        <w:spacing w:after="0" w:line="136" w:lineRule="exact"/>
        <w:rPr>
          <w:sz w:val="20"/>
          <w:szCs w:val="20"/>
          <w:color w:val="auto"/>
        </w:rPr>
      </w:pPr>
    </w:p>
    <w:p>
      <w:pPr>
        <w:ind w:left="1360" w:right="339"/>
        <w:spacing w:after="0" w:line="282" w:lineRule="auto"/>
        <w:rPr>
          <w:sz w:val="20"/>
          <w:szCs w:val="20"/>
          <w:color w:val="auto"/>
        </w:rPr>
      </w:pPr>
      <w:r>
        <w:rPr>
          <w:rFonts w:ascii="Times New Roman" w:cs="Times New Roman" w:eastAsia="Times New Roman" w:hAnsi="Times New Roman"/>
          <w:sz w:val="14"/>
          <w:szCs w:val="14"/>
          <w:color w:val="auto"/>
        </w:rPr>
        <w:t>This prospectus covers the resale or other disposition by the selling securityholders or their pledgees, donees, transferees or other successors-in-interest of up to the total number of Ordinary Shares issued to the selling securityholders pursuant to the Purchase Agreement.</w:t>
      </w:r>
    </w:p>
    <w:p>
      <w:pPr>
        <w:spacing w:after="0" w:line="125" w:lineRule="exact"/>
        <w:rPr>
          <w:sz w:val="20"/>
          <w:szCs w:val="20"/>
          <w:color w:val="auto"/>
        </w:rPr>
      </w:pPr>
    </w:p>
    <w:p>
      <w:pPr>
        <w:ind w:left="1360" w:right="559"/>
        <w:spacing w:after="0" w:line="266" w:lineRule="auto"/>
        <w:rPr>
          <w:sz w:val="20"/>
          <w:szCs w:val="20"/>
          <w:color w:val="auto"/>
        </w:rPr>
      </w:pPr>
      <w:r>
        <w:rPr>
          <w:rFonts w:ascii="Times New Roman" w:cs="Times New Roman" w:eastAsia="Times New Roman" w:hAnsi="Times New Roman"/>
          <w:sz w:val="14"/>
          <w:szCs w:val="14"/>
          <w:color w:val="auto"/>
        </w:rPr>
        <w:t>We are registering the above-referenced Ordinary Shares to permit the selling securityholders and their pledgees, donees, transferees or other successors-in-interest that receive their Ordinary Shares after the date of this prospectus to resell or otherwise dispose of the Ordinary Shares in the manner contemplated under the section titled “</w:t>
      </w:r>
      <w:r>
        <w:rPr>
          <w:rFonts w:ascii="Times New Roman" w:cs="Times New Roman" w:eastAsia="Times New Roman" w:hAnsi="Times New Roman"/>
          <w:sz w:val="14"/>
          <w:szCs w:val="14"/>
          <w:i w:val="1"/>
          <w:iCs w:val="1"/>
          <w:color w:val="auto"/>
        </w:rPr>
        <w:t>Plan of Distribution” herein.</w:t>
      </w:r>
    </w:p>
    <w:p>
      <w:pPr>
        <w:spacing w:after="0" w:line="136"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The following table sets forth information concerning the Ordinary Shares that may be offered from time to time by each selling securityholder. The number of Ordinary Shares beneficially owned by each selling securityholder is determined under rules issued by the SEC. Under these rules, beneficial ownership includes any shares as to which the selling securityholder has sole or shared voting power or investment power. Percentage ownership is based on 62,963,853 of our Ordinary Shares outstanding as of April 30, 2026. In computing the number of Ordinary Shares beneficially owned by a selling securityholder and their percentage ownership, Ordinary Shares subject to options, warrants or other rights held by such selling securityholder that are currently exercisable or will become exercisable within 60 days of April 30, 2026 are considered outstanding, although these Ordinary Shares are not considered outstanding for purposes of computing the percentage ownership of any other selling securityholder. For purposes of this table, we have assumed that the selling securityholders will have sold all of the securities covered by this prospectus upon the completion of the offering. Each of the selling securityholders listed has sole voting and investment power with respect to the Ordinary Shares beneficially owned by the selling securityholder unless noted otherwise.</w:t>
      </w:r>
    </w:p>
    <w:p>
      <w:pPr>
        <w:spacing w:after="0" w:line="150" w:lineRule="exact"/>
        <w:rPr>
          <w:sz w:val="20"/>
          <w:szCs w:val="20"/>
          <w:color w:val="auto"/>
        </w:rPr>
      </w:pPr>
    </w:p>
    <w:p>
      <w:pPr>
        <w:jc w:val="both"/>
        <w:ind w:left="1360" w:right="439"/>
        <w:spacing w:after="0" w:line="266" w:lineRule="auto"/>
        <w:rPr>
          <w:sz w:val="20"/>
          <w:szCs w:val="20"/>
          <w:color w:val="auto"/>
        </w:rPr>
      </w:pPr>
      <w:r>
        <w:rPr>
          <w:rFonts w:ascii="Times New Roman" w:cs="Times New Roman" w:eastAsia="Times New Roman" w:hAnsi="Times New Roman"/>
          <w:sz w:val="14"/>
          <w:szCs w:val="14"/>
          <w:color w:val="auto"/>
        </w:rPr>
        <w:t>The information in the following table has been provided to us by or on behalf of the selling securityholders and the selling securityholders may have sold, transferred or otherwise disposed of all or a portion of their securities after the date on which they provided us with information regarding their securities. A selling securityholder may sell all, some or none of its securities in this offering. See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Ordinary Shares Beneficially</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28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Owned After the Offering</w:t>
            </w:r>
          </w:p>
        </w:tc>
        <w:tc>
          <w:tcPr>
            <w:tcW w:w="0" w:type="dxa"/>
            <w:vAlign w:val="bottom"/>
          </w:tcPr>
          <w:p>
            <w:pPr>
              <w:spacing w:after="0"/>
              <w:rPr>
                <w:sz w:val="1"/>
                <w:szCs w:val="1"/>
                <w:color w:val="auto"/>
              </w:rPr>
            </w:pPr>
          </w:p>
        </w:tc>
      </w:tr>
      <w:tr>
        <w:trPr>
          <w:trHeight w:val="87"/>
        </w:trPr>
        <w:tc>
          <w:tcPr>
            <w:tcW w:w="15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7"/>
                <w:szCs w:val="7"/>
                <w:color w:val="auto"/>
              </w:rPr>
            </w:pPr>
          </w:p>
        </w:tc>
        <w:tc>
          <w:tcPr>
            <w:tcW w:w="860" w:type="dxa"/>
            <w:vAlign w:val="bottom"/>
            <w:gridSpan w:val="2"/>
          </w:tcPr>
          <w:p>
            <w:pPr>
              <w:jc w:val="center"/>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280" w:type="dxa"/>
            <w:vAlign w:val="bottom"/>
          </w:tcPr>
          <w:p>
            <w:pPr>
              <w:spacing w:after="0"/>
              <w:rPr>
                <w:sz w:val="10"/>
                <w:szCs w:val="10"/>
                <w:color w:val="auto"/>
              </w:rPr>
            </w:pPr>
          </w:p>
        </w:tc>
        <w:tc>
          <w:tcPr>
            <w:tcW w:w="8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114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 to be</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0" w:type="dxa"/>
            <w:vAlign w:val="bottom"/>
          </w:tcPr>
          <w:p>
            <w:pPr>
              <w:spacing w:after="0"/>
              <w:rPr>
                <w:sz w:val="1"/>
                <w:szCs w:val="1"/>
                <w:color w:val="auto"/>
              </w:rPr>
            </w:pPr>
          </w:p>
        </w:tc>
      </w:tr>
      <w:tr>
        <w:trPr>
          <w:trHeight w:val="115"/>
        </w:trPr>
        <w:tc>
          <w:tcPr>
            <w:tcW w:w="1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Securityholder</w:t>
            </w:r>
          </w:p>
        </w:tc>
        <w:tc>
          <w:tcPr>
            <w:tcW w:w="248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Before the</w:t>
            </w:r>
          </w:p>
        </w:tc>
        <w:tc>
          <w:tcPr>
            <w:tcW w:w="280" w:type="dxa"/>
            <w:vAlign w:val="bottom"/>
          </w:tcPr>
          <w:p>
            <w:pPr>
              <w:spacing w:after="0"/>
              <w:rPr>
                <w:sz w:val="10"/>
                <w:szCs w:val="10"/>
                <w:color w:val="auto"/>
              </w:rPr>
            </w:pPr>
          </w:p>
        </w:tc>
        <w:tc>
          <w:tcPr>
            <w:tcW w:w="86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Sold in the</w:t>
            </w:r>
          </w:p>
        </w:tc>
        <w:tc>
          <w:tcPr>
            <w:tcW w:w="900" w:type="dxa"/>
            <w:vAlign w:val="bottom"/>
            <w:gridSpan w:val="2"/>
            <w:vMerge w:val="continue"/>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0" w:type="dxa"/>
            <w:vAlign w:val="bottom"/>
          </w:tcPr>
          <w:p>
            <w:pPr>
              <w:spacing w:after="0"/>
              <w:rPr>
                <w:sz w:val="1"/>
                <w:szCs w:val="1"/>
                <w:color w:val="auto"/>
              </w:rPr>
            </w:pPr>
          </w:p>
        </w:tc>
      </w:tr>
      <w:tr>
        <w:trPr>
          <w:trHeight w:val="144"/>
        </w:trPr>
        <w:tc>
          <w:tcPr>
            <w:tcW w:w="15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280" w:type="dxa"/>
            <w:vAlign w:val="bottom"/>
          </w:tcPr>
          <w:p>
            <w:pPr>
              <w:spacing w:after="0"/>
              <w:rPr>
                <w:sz w:val="12"/>
                <w:szCs w:val="12"/>
                <w:color w:val="auto"/>
              </w:rPr>
            </w:pPr>
          </w:p>
        </w:tc>
        <w:tc>
          <w:tcPr>
            <w:tcW w:w="8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90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9"/>
        </w:trPr>
        <w:tc>
          <w:tcPr>
            <w:tcW w:w="398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Entities affiliated with ADAR1 Capital Management, LLC</w:t>
            </w:r>
            <w:r>
              <w:rPr>
                <w:rFonts w:ascii="Times New Roman" w:cs="Times New Roman" w:eastAsia="Times New Roman" w:hAnsi="Times New Roman"/>
                <w:sz w:val="17"/>
                <w:szCs w:val="17"/>
                <w:color w:val="auto"/>
                <w:vertAlign w:val="superscript"/>
              </w:rPr>
              <w:t>(2)</w:t>
            </w:r>
          </w:p>
        </w:tc>
        <w:tc>
          <w:tcPr>
            <w:tcW w:w="12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765,000</w:t>
            </w:r>
          </w:p>
        </w:tc>
        <w:tc>
          <w:tcPr>
            <w:tcW w:w="2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w:t>
            </w:r>
          </w:p>
        </w:tc>
        <w:tc>
          <w:tcPr>
            <w:tcW w:w="2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39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Burkehill Master Fund LP</w:t>
            </w:r>
            <w:r>
              <w:rPr>
                <w:rFonts w:ascii="Times New Roman" w:cs="Times New Roman" w:eastAsia="Times New Roman" w:hAnsi="Times New Roman"/>
                <w:sz w:val="19"/>
                <w:szCs w:val="19"/>
                <w:color w:val="auto"/>
                <w:vertAlign w:val="superscript"/>
              </w:rPr>
              <w:t>(3)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8"/>
        </w:trPr>
        <w:tc>
          <w:tcPr>
            <w:tcW w:w="39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Ikarian Healthcare Master Fund LP</w:t>
            </w:r>
            <w:r>
              <w:rPr>
                <w:rFonts w:ascii="Times New Roman" w:cs="Times New Roman" w:eastAsia="Times New Roman" w:hAnsi="Times New Roman"/>
                <w:sz w:val="19"/>
                <w:szCs w:val="19"/>
                <w:color w:val="auto"/>
                <w:vertAlign w:val="superscript"/>
              </w:rPr>
              <w:t>(4)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3,661,504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424,980</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3,236,524</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8"/>
        </w:trPr>
        <w:tc>
          <w:tcPr>
            <w:tcW w:w="39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Boothbay Diversified Alpha Master Fund LP</w:t>
            </w:r>
            <w:r>
              <w:rPr>
                <w:rFonts w:ascii="Times New Roman" w:cs="Times New Roman" w:eastAsia="Times New Roman" w:hAnsi="Times New Roman"/>
                <w:sz w:val="19"/>
                <w:szCs w:val="19"/>
                <w:color w:val="auto"/>
                <w:vertAlign w:val="superscript"/>
              </w:rPr>
              <w:t>(5)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43,440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307,581</w:t>
            </w: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39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Boothbay Absolute Return Strategies LP</w:t>
            </w:r>
            <w:r>
              <w:rPr>
                <w:rFonts w:ascii="Times New Roman" w:cs="Times New Roman" w:eastAsia="Times New Roman" w:hAnsi="Times New Roman"/>
                <w:sz w:val="19"/>
                <w:szCs w:val="19"/>
                <w:color w:val="auto"/>
                <w:vertAlign w:val="superscript"/>
              </w:rPr>
              <w:t>(6)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131,580</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788,981</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9"/>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Entities affiliated with Monashee Investment Management, LLC</w:t>
            </w:r>
            <w:r>
              <w:rPr>
                <w:rFonts w:ascii="Times New Roman" w:cs="Times New Roman" w:eastAsia="Times New Roman" w:hAnsi="Times New Roman"/>
                <w:sz w:val="20"/>
                <w:szCs w:val="20"/>
                <w:color w:val="auto"/>
                <w:vertAlign w:val="superscript"/>
              </w:rPr>
              <w:t>(7)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rPr>
              <w:t>19</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Ordinary Shares Beneficially</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6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Owned After the Offering</w:t>
            </w:r>
          </w:p>
        </w:tc>
        <w:tc>
          <w:tcPr>
            <w:tcW w:w="0" w:type="dxa"/>
            <w:vAlign w:val="bottom"/>
          </w:tcPr>
          <w:p>
            <w:pPr>
              <w:spacing w:after="0"/>
              <w:rPr>
                <w:sz w:val="1"/>
                <w:szCs w:val="1"/>
                <w:color w:val="auto"/>
              </w:rPr>
            </w:pPr>
          </w:p>
        </w:tc>
      </w:tr>
      <w:tr>
        <w:trPr>
          <w:trHeight w:val="87"/>
        </w:trPr>
        <w:tc>
          <w:tcPr>
            <w:tcW w:w="15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980" w:type="dxa"/>
            <w:vAlign w:val="bottom"/>
            <w:gridSpan w:val="2"/>
          </w:tcPr>
          <w:p>
            <w:pPr>
              <w:jc w:val="center"/>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Shares</w:t>
            </w:r>
          </w:p>
        </w:tc>
        <w:tc>
          <w:tcPr>
            <w:tcW w:w="900" w:type="dxa"/>
            <w:vAlign w:val="bottom"/>
            <w:gridSpan w:val="2"/>
          </w:tcPr>
          <w:p>
            <w:pPr>
              <w:jc w:val="center"/>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90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8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90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Shares to be</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Ordinary</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0" w:type="dxa"/>
            <w:vAlign w:val="bottom"/>
          </w:tcPr>
          <w:p>
            <w:pPr>
              <w:spacing w:after="0"/>
              <w:rPr>
                <w:sz w:val="1"/>
                <w:szCs w:val="1"/>
                <w:color w:val="auto"/>
              </w:rPr>
            </w:pPr>
          </w:p>
        </w:tc>
      </w:tr>
      <w:tr>
        <w:trPr>
          <w:trHeight w:val="115"/>
        </w:trPr>
        <w:tc>
          <w:tcPr>
            <w:tcW w:w="1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Securityholder</w:t>
            </w:r>
          </w:p>
        </w:tc>
        <w:tc>
          <w:tcPr>
            <w:tcW w:w="3540" w:type="dxa"/>
            <w:vAlign w:val="bottom"/>
            <w:vMerge w:val="restart"/>
          </w:tcPr>
          <w:p>
            <w:pPr>
              <w:spacing w:after="0"/>
              <w:rPr>
                <w:sz w:val="10"/>
                <w:szCs w:val="10"/>
                <w:color w:val="auto"/>
              </w:rPr>
            </w:pPr>
          </w:p>
        </w:tc>
        <w:tc>
          <w:tcPr>
            <w:tcW w:w="98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Before the</w:t>
            </w:r>
          </w:p>
        </w:tc>
        <w:tc>
          <w:tcPr>
            <w:tcW w:w="90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Sold in the</w:t>
            </w:r>
          </w:p>
        </w:tc>
        <w:tc>
          <w:tcPr>
            <w:tcW w:w="980" w:type="dxa"/>
            <w:vAlign w:val="bottom"/>
            <w:gridSpan w:val="2"/>
            <w:vMerge w:val="continue"/>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0" w:type="dxa"/>
            <w:vAlign w:val="bottom"/>
          </w:tcPr>
          <w:p>
            <w:pPr>
              <w:spacing w:after="0"/>
              <w:rPr>
                <w:sz w:val="1"/>
                <w:szCs w:val="1"/>
                <w:color w:val="auto"/>
              </w:rPr>
            </w:pPr>
          </w:p>
        </w:tc>
      </w:tr>
      <w:tr>
        <w:trPr>
          <w:trHeight w:val="144"/>
        </w:trPr>
        <w:tc>
          <w:tcPr>
            <w:tcW w:w="150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9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9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9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9"/>
        </w:trPr>
        <w:tc>
          <w:tcPr>
            <w:tcW w:w="50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Entities affiliated with Richmond Brothers, Inc.</w:t>
            </w:r>
            <w:r>
              <w:rPr>
                <w:rFonts w:ascii="Times New Roman" w:cs="Times New Roman" w:eastAsia="Times New Roman" w:hAnsi="Times New Roman"/>
                <w:sz w:val="17"/>
                <w:szCs w:val="17"/>
                <w:color w:val="auto"/>
                <w:vertAlign w:val="superscript"/>
              </w:rPr>
              <w:t>(8)</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1,205,721</w:t>
            </w:r>
          </w:p>
        </w:tc>
        <w:tc>
          <w:tcPr>
            <w:tcW w:w="3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580,000</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625,721</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50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Entities affiliated with SilverArc Capital Management, LLC</w:t>
            </w:r>
            <w:r>
              <w:rPr>
                <w:rFonts w:ascii="Times New Roman" w:cs="Times New Roman" w:eastAsia="Times New Roman" w:hAnsi="Times New Roman"/>
                <w:sz w:val="19"/>
                <w:szCs w:val="19"/>
                <w:color w:val="auto"/>
                <w:vertAlign w:val="superscript"/>
              </w:rPr>
              <w:t>(9)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545,000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8"/>
        </w:trPr>
        <w:tc>
          <w:tcPr>
            <w:tcW w:w="5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Mossrock Capital, LLC</w:t>
            </w:r>
            <w:r>
              <w:rPr>
                <w:rFonts w:ascii="Times New Roman" w:cs="Times New Roman" w:eastAsia="Times New Roman" w:hAnsi="Times New Roman"/>
                <w:sz w:val="19"/>
                <w:szCs w:val="19"/>
                <w:color w:val="auto"/>
                <w:vertAlign w:val="superscript"/>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8"/>
        </w:trPr>
        <w:tc>
          <w:tcPr>
            <w:tcW w:w="50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683 Capital Partners, LP</w:t>
            </w:r>
            <w:r>
              <w:rPr>
                <w:rFonts w:ascii="Times New Roman" w:cs="Times New Roman" w:eastAsia="Times New Roman" w:hAnsi="Times New Roman"/>
                <w:sz w:val="19"/>
                <w:szCs w:val="19"/>
                <w:color w:val="auto"/>
                <w:vertAlign w:val="superscript"/>
              </w:rPr>
              <w:t>(11)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1,175,000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5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Panacea Venture Healthcare Fund II, L.P.</w:t>
            </w:r>
            <w:r>
              <w:rPr>
                <w:rFonts w:ascii="Times New Roman" w:cs="Times New Roman" w:eastAsia="Times New Roman" w:hAnsi="Times New Roman"/>
                <w:sz w:val="19"/>
                <w:szCs w:val="19"/>
                <w:color w:val="auto"/>
                <w:vertAlign w:val="superscript"/>
              </w:rPr>
              <w:t>(12)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13,160,000</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1,160,000</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68"/>
        </w:trPr>
        <w:tc>
          <w:tcPr>
            <w:tcW w:w="50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Entities affiliated with Millennium Management LLC</w:t>
            </w:r>
            <w:r>
              <w:rPr>
                <w:rFonts w:ascii="Times New Roman" w:cs="Times New Roman" w:eastAsia="Times New Roman" w:hAnsi="Times New Roman"/>
                <w:sz w:val="19"/>
                <w:szCs w:val="19"/>
                <w:color w:val="auto"/>
                <w:vertAlign w:val="superscript"/>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756,901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456,901</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8"/>
        </w:trPr>
        <w:tc>
          <w:tcPr>
            <w:tcW w:w="5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Stonepine Capital, LP</w:t>
            </w:r>
            <w:r>
              <w:rPr>
                <w:rFonts w:ascii="Times New Roman" w:cs="Times New Roman" w:eastAsia="Times New Roman" w:hAnsi="Times New Roman"/>
                <w:sz w:val="19"/>
                <w:szCs w:val="19"/>
                <w:color w:val="auto"/>
                <w:vertAlign w:val="superscript"/>
              </w:rPr>
              <w:t>(14)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66675</wp:posOffset>
            </wp:positionV>
            <wp:extent cx="59309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93090" cy="6350"/>
                    </a:xfrm>
                    <a:prstGeom prst="rect">
                      <a:avLst/>
                    </a:prstGeom>
                    <a:noFill/>
                  </pic:spPr>
                </pic:pic>
              </a:graphicData>
            </a:graphic>
          </wp:anchor>
        </w:drawing>
      </w:r>
    </w:p>
    <w:p>
      <w:pPr>
        <w:spacing w:after="0" w:line="112" w:lineRule="exact"/>
        <w:rPr>
          <w:sz w:val="20"/>
          <w:szCs w:val="20"/>
          <w:color w:val="auto"/>
        </w:rPr>
      </w:pPr>
    </w:p>
    <w:p>
      <w:pPr>
        <w:ind w:left="1700" w:hanging="337"/>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2" w:lineRule="exact"/>
        <w:rPr>
          <w:sz w:val="20"/>
          <w:szCs w:val="20"/>
          <w:color w:val="auto"/>
        </w:rPr>
      </w:pPr>
    </w:p>
    <w:p>
      <w:pPr>
        <w:ind w:left="1700" w:hanging="337"/>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securityholders sell all of their Ordinary Shares offered pursuant to this prospectus.</w:t>
      </w:r>
    </w:p>
    <w:p>
      <w:pPr>
        <w:spacing w:after="0" w:line="6" w:lineRule="exact"/>
        <w:rPr>
          <w:rFonts w:ascii="Times New Roman" w:cs="Times New Roman" w:eastAsia="Times New Roman" w:hAnsi="Times New Roman"/>
          <w:sz w:val="14"/>
          <w:szCs w:val="14"/>
          <w:color w:val="auto"/>
        </w:rPr>
      </w:pPr>
    </w:p>
    <w:p>
      <w:pPr>
        <w:ind w:left="1700" w:right="259" w:hanging="337"/>
        <w:spacing w:after="0" w:line="250"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657,053 Ordinary Shares held by ADAR1 Partners, LP (“ADAR1”), including 609,000 Ordinary Shares purchased from us in the private placement, (ii) 97,900 Ordinary Shares held by Spearhead Insurance Solutions IDF, LLC—Series ADAR1 (“Spearhead”), including 91,000 Ordinary Shares purchased from us in the private placement and (iii) 10,047 Ordinary Shares held by separately managed accounts (“Separate Accounts”). ADAR1 Capital Management, LLC (“ADAR1 LLC”), the investment advisor of ADAR1 and the sub-advisor of Spearhead and the Separate Accounts, has voting and investment control of the Ordinary Shares held by ADAR1, Spearhead, and the Separate Accounts. ADAR1 Capital Management GP, LLC (“ADAR1 GP”) is the general partner of ADAR1. Daniel Schneeberger is the manager of ADAR1 LLC and ADAR1 GP. The address of ADAR1 is 3503 Wild Cherry Drive, Building 9, Austin, Texas 78738. The address for Spearhead is 3828 Kennett Pike, Suite 202, Greenville, Delaware 19807.</w:t>
      </w:r>
    </w:p>
    <w:p>
      <w:pPr>
        <w:spacing w:after="0" w:line="1" w:lineRule="exact"/>
        <w:rPr>
          <w:rFonts w:ascii="Times New Roman" w:cs="Times New Roman" w:eastAsia="Times New Roman" w:hAnsi="Times New Roman"/>
          <w:sz w:val="14"/>
          <w:szCs w:val="14"/>
          <w:color w:val="auto"/>
        </w:rPr>
      </w:pPr>
    </w:p>
    <w:p>
      <w:pPr>
        <w:ind w:left="1700" w:right="319" w:hanging="337"/>
        <w:spacing w:after="0" w:line="250"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Burkehill Global Management, LP (“Burkehill”) serves as investment manager to Burkehill Master Fund LP, a Cayman Islands exempted limited partnership (“Admiral Fund”). As such, Burkehill has been granted investment discretion over the Ordinary Shares owned by the Admiral Fund. Christopher Rich serves as Managing Partner of Burkehill, the Managing Member of Burkehill Global LLC (“Burkehill GP”), the general partner of Burkehill, and the Managing Member of Burkehill Fund GP LLC (“Burkehill Fund GP”), the general partner of the Admiral Fund. Each of Burkehill, Burkehill GP, Burkehill Fund GP and Mr. Rich disclaim beneficial ownership of the Ordinary Shares held by the Admiral Fund except to the extent of their or its pecuniary interest therein. The address for the Admiral Fund is c/o Burkehill Global Management, LP, 280 Park Avenue, New York, New York 10017.</w:t>
      </w:r>
    </w:p>
    <w:p>
      <w:pPr>
        <w:spacing w:after="0" w:line="1" w:lineRule="exact"/>
        <w:rPr>
          <w:rFonts w:ascii="Times New Roman" w:cs="Times New Roman" w:eastAsia="Times New Roman" w:hAnsi="Times New Roman"/>
          <w:sz w:val="14"/>
          <w:szCs w:val="14"/>
          <w:color w:val="auto"/>
        </w:rPr>
      </w:pPr>
    </w:p>
    <w:p>
      <w:pPr>
        <w:ind w:left="1700" w:right="259" w:hanging="337"/>
        <w:spacing w:after="0" w:line="250"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107,600 Ordinary Shares that may be acquired by Ikarian Healthcare Master Fund LP (the “Ikarian Fund”) within 60 days upon exercise of call options to purchase Ordinary Shares. The Ikarian Fund is the record holder of the Ordinary Shares. Ikarian Capital, LLC, as the investment manager of the Fund, has voting and dispositive power over the securities held by the Ikarian Fund. Neil Shahrestani, as sole manager of Ikarian Capital, LLC, may be deemed to share such voting and dispositive power. The address for Ikarian Capital, LLC is 100 Crescent Court, Suite 1620, Dallas, Texas 75201.</w:t>
      </w:r>
    </w:p>
    <w:p>
      <w:pPr>
        <w:ind w:left="1700" w:right="359" w:hanging="337"/>
        <w:spacing w:after="0" w:line="252"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10,300 Ordinary Shares that may be acquired by Boothbay Diversified Alpha Master Fund LP (the “Boothbay Fund”) within 60 days upon exercise of call options to purchase Ordinary Shares. Boothbay Fund Management, LLC (“Boothbay”) manages a multi-manager fund vehicle, the Boothbay Fund. The Boothbay Fund allocates capital to one or more sub-advisors, each of which exercises independent investment discretion over its allocated portion of the Boothbay Fund’s assets. Notwithstanding such discretion, all securities purchased by each sub-advisor are held in accounts maintained in the name of the Boothbay Fund. Ikarian Capital, LLC is one of the Boothbay Fund’s sub-advisors, and investment discretion and voting authority has been delegated to them. The address for Ikarian Capital, LLC is 100 Crescent Court, Suite 1620, Dallas, Texas 75201.</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700" w:right="359" w:hanging="337"/>
        <w:spacing w:after="0" w:line="253"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26,700 Ordinary Shares that may be acquired by Boothbay Absolute Return Strategies LP (“Boothbay ARS”) within 60 days upon exercise of call options to purchase Ordinary Shares. Boothbay manages a multi-manager fund vehicle, Boothbay ARS. Boothbay ARS allocates capital to one or more sub-advisors, each of which exercises independent investment discretion over its allocated portion of Boothbay ARS’s assets. Notwithstanding such discretion, all securities purchased by each sub-advisor are held in accounts maintained in the name of Boothbay ARS. Ikarian Capital, LLC is one of Boothbay ARS’s sub-advisors, and investment discretion and voting authority has been delegated to them. The address for Ikarian Capital, LLC is 100 Crescent Court, Suite 1620, Dallas, Texas 75201.</w:t>
      </w:r>
    </w:p>
    <w:p>
      <w:pPr>
        <w:spacing w:after="0" w:line="3" w:lineRule="exact"/>
        <w:rPr>
          <w:rFonts w:ascii="Times New Roman" w:cs="Times New Roman" w:eastAsia="Times New Roman" w:hAnsi="Times New Roman"/>
          <w:sz w:val="14"/>
          <w:szCs w:val="14"/>
          <w:color w:val="auto"/>
        </w:rPr>
      </w:pPr>
    </w:p>
    <w:p>
      <w:pPr>
        <w:ind w:left="1700" w:right="339" w:hanging="337"/>
        <w:spacing w:after="0" w:line="250"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241,158 Ordinary Shares held by HIF Solitude Ltd (“HIF”) and (ii) 303,842 Ordinary Shares held by Mission Pure Alpha Master LP (“MPAM”). MPAM and HIF are managed by Monashee Investment Management, LLC (“Monashee Management”). Jeff Muller is CCO of Monashee Management and has voting and investment control over Monashee Management and may be deemed to have beneficial ownership of the Ordinary Shares held by MPAM and HIF. Jeff Muller, however, disclaims any beneficial ownership of the Ordinary Shares held by these entities. The address for MPAM, HIF and Mr. Muller is c/o Monashee Investment Management, LLC, 75 Park Plaza, 4th Floor, Boston, Massachusetts 02116.</w:t>
      </w:r>
    </w:p>
    <w:p>
      <w:pPr>
        <w:spacing w:after="0" w:line="1" w:lineRule="exact"/>
        <w:rPr>
          <w:rFonts w:ascii="Times New Roman" w:cs="Times New Roman" w:eastAsia="Times New Roman" w:hAnsi="Times New Roman"/>
          <w:sz w:val="14"/>
          <w:szCs w:val="14"/>
          <w:color w:val="auto"/>
        </w:rPr>
      </w:pPr>
    </w:p>
    <w:p>
      <w:pPr>
        <w:ind w:left="1700" w:right="279" w:hanging="337"/>
        <w:spacing w:after="0" w:line="250"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12,091 Ordinary Shares held by James M. Wissner &amp; Jennifer Wissner JTWROS TOD, (ii) 291,515 Ordinary Shares held by Lingap Children’s Foundation, (iii) 161,608 Ordinary Shares held by David and Stephanie Richmond, (iv) 63,300 Ordinary Shares held by Richmond Brothers, Inc., (v) 207,275 Ordinary Shares held by RBI Opportunity Fund II, LLC, (vi) 223,598 Ordinary Shares held by RBI Opportunity Fund, LLC, (vii) 154,494 Ordinary Shares held by RBI Private Investments III, LLC, (viii) 83,424 Ordinary Shares held by RBI Private Investments II, LLC, (ix) 1,775 Ordinary Shares held by Lumen Christi Quarterback Club, (x) 1,696 Ordinary Shares held by Hunter Richmond, (xi) 2,928 Ordinary Shares held by Colin Richmond, (xii) 613 Ordinary Shares held by RBI Private Investment 1 LLC and (xiii) 1,404 Ordinary Shares held in a Roth IRA account for the benefit of David Richmond. David Richmond serves as investment advisor to each of the entities listed herein. Mr. Richmond has dispositive power of the Ordinary Shares held by each of the entities listed herein. The address for these entities is 3568 Wildwood Avenue, Jackson, Michigan 49202.</w:t>
      </w:r>
    </w:p>
    <w:p>
      <w:pPr>
        <w:spacing w:after="0" w:line="1" w:lineRule="exact"/>
        <w:rPr>
          <w:rFonts w:ascii="Times New Roman" w:cs="Times New Roman" w:eastAsia="Times New Roman" w:hAnsi="Times New Roman"/>
          <w:sz w:val="14"/>
          <w:szCs w:val="14"/>
          <w:color w:val="auto"/>
        </w:rPr>
      </w:pPr>
    </w:p>
    <w:p>
      <w:pPr>
        <w:ind w:left="1700" w:right="339" w:hanging="337"/>
        <w:spacing w:after="0" w:line="250"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20,819 Ordinary Shares held by SilverArc Capital Alpha Fund I, LP and (ii) 524,181 Ordinary Shares held by SilverArc Capital Alpha Fund II, LP. SilverArc Capital Management, LLC is the investment management and controlling entity of SilverArc Capital Alpha Fund I, LP and SilverArc Capital Alpha Fund II, LP and is solely owned by Devesh Gandhi. Mr. Gandhi may be deemed to have shared voting and investment power of the securities managed by SilverArc Capital Management, LLC. Mr. Gandhi disclaims beneficial ownership of such securities, except to the extent of his pecuniary interest therein. The address for these persons and entities is 20 Park Plaza, 4th Floor, Boston, Massachusetts 02116.</w:t>
      </w:r>
    </w:p>
    <w:p>
      <w:pPr>
        <w:spacing w:after="0" w:line="1" w:lineRule="exact"/>
        <w:rPr>
          <w:rFonts w:ascii="Times New Roman" w:cs="Times New Roman" w:eastAsia="Times New Roman" w:hAnsi="Times New Roman"/>
          <w:sz w:val="14"/>
          <w:szCs w:val="14"/>
          <w:color w:val="auto"/>
        </w:rPr>
      </w:pPr>
    </w:p>
    <w:p>
      <w:pPr>
        <w:ind w:left="1700" w:right="279" w:hanging="337"/>
        <w:spacing w:after="0" w:line="250"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R. Malley is the managing member of Mossrock Capital, LLC (“Mossrock”) and may be deemed to beneficially own the Ordinary Shares owned by Mossrock. The address for Mossrock is 19 Martin Lane, Englewood, Colorado 80113.</w:t>
      </w:r>
    </w:p>
    <w:p>
      <w:pPr>
        <w:ind w:left="1700" w:right="579" w:hanging="337"/>
        <w:spacing w:after="0" w:line="269" w:lineRule="auto"/>
        <w:tabs>
          <w:tab w:leader="none" w:pos="17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Ordinary Shares held by 683 Capital Partners, LP are indirectly held by 683 Capital Management, LLC and Ari Zweiman, the managing member of 683 Capital Management, LLC. 683 Capital Management, LLC, 683 Capital Partners, LP and Mr. Zweiman share voting and dispositive power with respect to the Ordinary Shares held by 683 Capital Partners, LP. The address for 683 Capital Partners, LP is</w:t>
      </w:r>
    </w:p>
    <w:p>
      <w:pPr>
        <w:spacing w:after="0" w:line="1" w:lineRule="exact"/>
        <w:rPr>
          <w:rFonts w:ascii="Times New Roman" w:cs="Times New Roman" w:eastAsia="Times New Roman" w:hAnsi="Times New Roman"/>
          <w:sz w:val="13"/>
          <w:szCs w:val="13"/>
          <w:color w:val="auto"/>
        </w:rPr>
      </w:pPr>
    </w:p>
    <w:p>
      <w:pPr>
        <w:ind w:left="1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1700 Broadway, Suite 4200, New York, New York 10019.</w:t>
      </w:r>
    </w:p>
    <w:p>
      <w:pPr>
        <w:spacing w:after="0" w:line="6" w:lineRule="exact"/>
        <w:rPr>
          <w:rFonts w:ascii="Times New Roman" w:cs="Times New Roman" w:eastAsia="Times New Roman" w:hAnsi="Times New Roman"/>
          <w:sz w:val="13"/>
          <w:szCs w:val="13"/>
          <w:color w:val="auto"/>
        </w:rPr>
      </w:pPr>
    </w:p>
    <w:p>
      <w:pPr>
        <w:ind w:left="1700" w:right="259" w:hanging="337"/>
        <w:spacing w:after="0" w:line="250"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Panacea Venture Healthcare Fund II, L.P. is the record holder of the Ordinary Shares. James Huang, a member of our board of directors, is the sole owner of Panacea Innovation Limited, which is the sole owner of Panacea Venture Healthcare Fund II GP Company, Ltd., which is the general partner of Panacea Venture Healthcare Fund II, L.P., and as a result, each of them may be deemed to share beneficial ownership of the Ordinary Shares, but each disclaims such beneficial ownership. The address for Panacea Venture Healthcare Fund II, L.P. is PO Box 309, Ugland House, Grand Cayman, KY1-1104, Cayman Islands.</w:t>
      </w:r>
    </w:p>
    <w:p>
      <w:pPr>
        <w:ind w:left="1700" w:right="279" w:hanging="337"/>
        <w:spacing w:after="0" w:line="255"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578,257 Ordinary Shares held by Integrated Core Strategies (US) LLC (which includes 300,000 Ordinary Shares acquired pursuant to the Purchase Agreement), (ii) 75,931 Ordinary Shares held by ICS Opportunities II LLC, (iii) 100,393 Ordinary Shares held by ICS Opportunities, Ltd. and (iv) 2,320 Ordinary Shares held by Integrated Assets, Ltd. The Ordinary Shares may be deemed to be beneficially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700" w:right="239"/>
        <w:spacing w:after="0" w:line="254" w:lineRule="auto"/>
        <w:rPr>
          <w:sz w:val="20"/>
          <w:szCs w:val="20"/>
          <w:color w:val="auto"/>
        </w:rPr>
      </w:pPr>
      <w:r>
        <w:rPr>
          <w:rFonts w:ascii="Times New Roman" w:cs="Times New Roman" w:eastAsia="Times New Roman" w:hAnsi="Times New Roman"/>
          <w:sz w:val="14"/>
          <w:szCs w:val="14"/>
          <w:color w:val="auto"/>
        </w:rPr>
        <w:t>owned by Millennium Management LLC, Millennium Group Management LLC and Israel A.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Millennium Management LLC is 399 Park Avenue, New York, New York 10022.</w:t>
      </w:r>
    </w:p>
    <w:p>
      <w:pPr>
        <w:spacing w:after="0" w:line="2" w:lineRule="exact"/>
        <w:rPr>
          <w:sz w:val="20"/>
          <w:szCs w:val="20"/>
          <w:color w:val="auto"/>
        </w:rPr>
      </w:pPr>
    </w:p>
    <w:p>
      <w:pPr>
        <w:ind w:left="1700" w:right="419" w:hanging="337"/>
        <w:spacing w:after="0" w:line="255"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Stonepine GP, LLC is the general partner of Stonepine Capital, LP. Stonepine Capital Management, LLC is the investment advisor to Stonepine Capital, LP. Jon Plexico is the Managing Member of both Stonepine GP, LLC and Stonepine Capital Management, LLC. The address for Stonepine Capital, LP is 2900 NW Clearwater Dr., Suite 100-11, Bend, Oregon 97703.</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59" w:firstLine="342"/>
        <w:spacing w:after="0" w:line="258" w:lineRule="auto"/>
        <w:rPr>
          <w:sz w:val="20"/>
          <w:szCs w:val="20"/>
          <w:color w:val="auto"/>
        </w:rPr>
      </w:pPr>
      <w:r>
        <w:rPr>
          <w:rFonts w:ascii="Times New Roman" w:cs="Times New Roman" w:eastAsia="Times New Roman" w:hAnsi="Times New Roman"/>
          <w:sz w:val="14"/>
          <w:szCs w:val="14"/>
          <w:color w:val="auto"/>
        </w:rPr>
        <w:t>The selling securityholders and any of their pledgees, donees, transferees, assignees or other successors-in-interest may, from time to time, sell, transfer or otherwise dispose of any or all of their Ordinary Shares or interests in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one or more of the following methods when disposing of the shares or interests therein:</w:t>
      </w:r>
    </w:p>
    <w:p>
      <w:pPr>
        <w:spacing w:after="0" w:line="69" w:lineRule="exact"/>
        <w:rPr>
          <w:sz w:val="20"/>
          <w:szCs w:val="20"/>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4"/>
          <w:szCs w:val="14"/>
          <w:color w:val="auto"/>
        </w:rPr>
      </w:pPr>
    </w:p>
    <w:p>
      <w:pPr>
        <w:ind w:left="2120" w:right="759" w:hanging="337"/>
        <w:spacing w:after="0" w:line="282"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dealers or underwriters that may act solely as agents;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entered into after the effective date of the registration statement of which this prospectus is a part;</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the selling securityholders’ employees, partners, members or stockholders;</w:t>
      </w:r>
    </w:p>
    <w:p>
      <w:pPr>
        <w:spacing w:after="0" w:line="101" w:lineRule="exact"/>
        <w:rPr>
          <w:rFonts w:ascii="Times New Roman" w:cs="Times New Roman" w:eastAsia="Times New Roman" w:hAnsi="Times New Roman"/>
          <w:sz w:val="14"/>
          <w:szCs w:val="14"/>
          <w:color w:val="auto"/>
        </w:rPr>
      </w:pPr>
    </w:p>
    <w:p>
      <w:pPr>
        <w:ind w:left="2120" w:right="359" w:hanging="337"/>
        <w:spacing w:after="0" w:line="282"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5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securityholders to sell a specified number of such shares at a stipulated price per share;</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disposition; and</w:t>
      </w:r>
    </w:p>
    <w:p>
      <w:pPr>
        <w:spacing w:after="0" w:line="101" w:lineRule="exact"/>
        <w:rPr>
          <w:rFonts w:ascii="Times New Roman" w:cs="Times New Roman" w:eastAsia="Times New Roman" w:hAnsi="Times New Roman"/>
          <w:sz w:val="14"/>
          <w:szCs w:val="14"/>
          <w:color w:val="auto"/>
        </w:rPr>
      </w:pPr>
    </w:p>
    <w:p>
      <w:pPr>
        <w:ind w:left="2120" w:hanging="337"/>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5" w:lineRule="exact"/>
        <w:rPr>
          <w:sz w:val="20"/>
          <w:szCs w:val="20"/>
          <w:color w:val="auto"/>
        </w:rPr>
      </w:pPr>
    </w:p>
    <w:p>
      <w:pPr>
        <w:ind w:left="1360" w:right="499" w:firstLine="342"/>
        <w:spacing w:after="0" w:line="282" w:lineRule="auto"/>
        <w:rPr>
          <w:sz w:val="20"/>
          <w:szCs w:val="20"/>
          <w:color w:val="auto"/>
        </w:rPr>
      </w:pPr>
      <w:r>
        <w:rPr>
          <w:rFonts w:ascii="Times New Roman" w:cs="Times New Roman" w:eastAsia="Times New Roman" w:hAnsi="Times New Roman"/>
          <w:sz w:val="14"/>
          <w:szCs w:val="14"/>
          <w:color w:val="auto"/>
        </w:rPr>
        <w:t>The selling securityholders may also sell shares under Rule 144 or Rule 904 under the Securities Act, if available, or Section 4(a)(1) under the Securities Act, rather than under this prospectus.</w:t>
      </w:r>
    </w:p>
    <w:p>
      <w:pPr>
        <w:spacing w:after="0" w:line="125" w:lineRule="exact"/>
        <w:rPr>
          <w:sz w:val="20"/>
          <w:szCs w:val="20"/>
          <w:color w:val="auto"/>
        </w:rPr>
      </w:pPr>
    </w:p>
    <w:p>
      <w:pPr>
        <w:jc w:val="both"/>
        <w:ind w:left="1360" w:right="519" w:firstLine="342"/>
        <w:spacing w:after="0" w:line="266" w:lineRule="auto"/>
        <w:rPr>
          <w:sz w:val="20"/>
          <w:szCs w:val="20"/>
          <w:color w:val="auto"/>
        </w:rPr>
      </w:pPr>
      <w:r>
        <w:rPr>
          <w:rFonts w:ascii="Times New Roman" w:cs="Times New Roman" w:eastAsia="Times New Roman" w:hAnsi="Times New Roman"/>
          <w:sz w:val="14"/>
          <w:szCs w:val="14"/>
          <w:color w:val="auto"/>
        </w:rPr>
        <w:t>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w:t>
      </w:r>
    </w:p>
    <w:p>
      <w:pPr>
        <w:spacing w:after="0" w:line="136" w:lineRule="exact"/>
        <w:rPr>
          <w:sz w:val="20"/>
          <w:szCs w:val="20"/>
          <w:color w:val="auto"/>
        </w:rPr>
      </w:pPr>
    </w:p>
    <w:p>
      <w:pPr>
        <w:jc w:val="both"/>
        <w:ind w:left="1360" w:right="279" w:firstLine="342"/>
        <w:spacing w:after="0" w:line="257" w:lineRule="auto"/>
        <w:rPr>
          <w:sz w:val="20"/>
          <w:szCs w:val="20"/>
          <w:color w:val="auto"/>
        </w:rPr>
      </w:pPr>
      <w:r>
        <w:rPr>
          <w:rFonts w:ascii="Times New Roman" w:cs="Times New Roman" w:eastAsia="Times New Roman" w:hAnsi="Times New Roman"/>
          <w:sz w:val="14"/>
          <w:szCs w:val="14"/>
          <w:color w:val="auto"/>
        </w:rPr>
        <w:t>The selling securityholders may, from time to time, pledge or grant a security interest in some or all of the Ordinary Shares owned by them and, if they default in the performance of their secured obligations, the pledgees or secured parties may offer and sell Ordinary Shares from time to time under this prospectus, or under a supplement or amendment to this prospectus under Rule 424(b)(3) or other applicable provision of the Securities</w:t>
      </w:r>
    </w:p>
    <w:p>
      <w:pPr>
        <w:spacing w:after="0" w:line="1" w:lineRule="exact"/>
        <w:rPr>
          <w:sz w:val="20"/>
          <w:szCs w:val="20"/>
          <w:color w:val="auto"/>
        </w:rPr>
      </w:pPr>
    </w:p>
    <w:p>
      <w:pPr>
        <w:ind w:left="1360" w:right="539"/>
        <w:spacing w:after="0" w:line="260" w:lineRule="auto"/>
        <w:rPr>
          <w:sz w:val="20"/>
          <w:szCs w:val="20"/>
          <w:color w:val="auto"/>
        </w:rPr>
      </w:pPr>
      <w:r>
        <w:rPr>
          <w:rFonts w:ascii="Times New Roman" w:cs="Times New Roman" w:eastAsia="Times New Roman" w:hAnsi="Times New Roman"/>
          <w:sz w:val="14"/>
          <w:szCs w:val="14"/>
          <w:color w:val="auto"/>
        </w:rPr>
        <w:t>Act amending the list of selling securityholders to include the pledgee, transferee or other successors in interest as selling securityholders under this prospectus.</w:t>
      </w:r>
    </w:p>
    <w:p>
      <w:pPr>
        <w:spacing w:after="0" w:line="140" w:lineRule="exact"/>
        <w:rPr>
          <w:sz w:val="20"/>
          <w:szCs w:val="20"/>
          <w:color w:val="auto"/>
        </w:rPr>
      </w:pPr>
    </w:p>
    <w:p>
      <w:pPr>
        <w:ind w:left="1360" w:right="279" w:firstLine="342"/>
        <w:spacing w:after="0" w:line="258" w:lineRule="auto"/>
        <w:rPr>
          <w:sz w:val="20"/>
          <w:szCs w:val="20"/>
          <w:color w:val="auto"/>
        </w:rPr>
      </w:pPr>
      <w:r>
        <w:rPr>
          <w:rFonts w:ascii="Times New Roman" w:cs="Times New Roman" w:eastAsia="Times New Roman" w:hAnsi="Times New Roman"/>
          <w:sz w:val="14"/>
          <w:szCs w:val="14"/>
          <w:color w:val="auto"/>
        </w:rPr>
        <w:t>Upon being notified in writing by a selling securityholder that any material arrangement has been entered into with a broker-dealer for the sale of Ordinary Shares through a block trade, special offering, exchange distribution or secondary distribution or a purchase by a broker or dealer, we will file a supplement to this prospectus, if required, pursuant to Rule 424(b) under the Securities Act, disclosing (i) the name of each such selling securityholder and of the participating broker-dealer(s), (ii) the number of shares involved, (iii) the price at which such Ordinary Shares were sold, (iv) the commissions paid or discounts or concessions allowed to such</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broker-dealer(s), where applicable, (v) that such broker-dealer(s) did not conduct any investigation to verify the information set out or incorporated by reference in this prospectus, and (vi) other facts material to the transaction. In addition, upon being notified in writing by a selling securityholder that a donee or pledgee intends to sell more than 500 Ordinary Shares, we will file a supplement to this prospectus if then required in accordance with applicable securities law.</w:t>
      </w:r>
    </w:p>
    <w:p>
      <w:pPr>
        <w:spacing w:after="0" w:line="139" w:lineRule="exact"/>
        <w:rPr>
          <w:sz w:val="20"/>
          <w:szCs w:val="20"/>
          <w:color w:val="auto"/>
        </w:rPr>
      </w:pPr>
    </w:p>
    <w:p>
      <w:pPr>
        <w:ind w:left="1360" w:right="779" w:firstLine="342"/>
        <w:spacing w:after="0" w:line="282" w:lineRule="auto"/>
        <w:rPr>
          <w:sz w:val="20"/>
          <w:szCs w:val="20"/>
          <w:color w:val="auto"/>
        </w:rPr>
      </w:pPr>
      <w:r>
        <w:rPr>
          <w:rFonts w:ascii="Times New Roman" w:cs="Times New Roman" w:eastAsia="Times New Roman" w:hAnsi="Times New Roman"/>
          <w:sz w:val="14"/>
          <w:szCs w:val="14"/>
          <w:color w:val="auto"/>
        </w:rPr>
        <w:t>The selling securityholders also may transfer the Ordinary Shares in other circumstances, in which case the transferees, pledgees or other successors in interest will be the selling beneficial owners for purposes of this prospectus.</w:t>
      </w:r>
    </w:p>
    <w:p>
      <w:pPr>
        <w:spacing w:after="0" w:line="125" w:lineRule="exact"/>
        <w:rPr>
          <w:sz w:val="20"/>
          <w:szCs w:val="20"/>
          <w:color w:val="auto"/>
        </w:rPr>
      </w:pPr>
    </w:p>
    <w:p>
      <w:pPr>
        <w:ind w:left="1360" w:right="319" w:firstLine="342"/>
        <w:spacing w:after="0" w:line="255" w:lineRule="auto"/>
        <w:rPr>
          <w:sz w:val="20"/>
          <w:szCs w:val="20"/>
          <w:color w:val="auto"/>
        </w:rPr>
      </w:pPr>
      <w:r>
        <w:rPr>
          <w:rFonts w:ascii="Times New Roman" w:cs="Times New Roman" w:eastAsia="Times New Roman" w:hAnsi="Times New Roman"/>
          <w:sz w:val="14"/>
          <w:szCs w:val="14"/>
          <w:color w:val="auto"/>
        </w:rPr>
        <w:t>In connection with the sale of the Ordinary Shares or interests in Ordinary Shares, the selling securityholders may enter into hedging transactions with broker-dealers or other financial institutions, which may in turn engage in short sales of the Ordinary Shares in the course of hedging the positions they assume. The selling securityholders may also sell Ordinary Shares short and deliver these securities to close out their short positions, or loan or pledge the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6" w:lineRule="exact"/>
        <w:rPr>
          <w:sz w:val="20"/>
          <w:szCs w:val="20"/>
          <w:color w:val="auto"/>
        </w:rPr>
      </w:pPr>
    </w:p>
    <w:p>
      <w:pPr>
        <w:ind w:left="1360" w:right="279" w:firstLine="342"/>
        <w:spacing w:after="0" w:line="256" w:lineRule="auto"/>
        <w:rPr>
          <w:sz w:val="20"/>
          <w:szCs w:val="20"/>
          <w:color w:val="auto"/>
        </w:rPr>
      </w:pPr>
      <w:r>
        <w:rPr>
          <w:rFonts w:ascii="Times New Roman" w:cs="Times New Roman" w:eastAsia="Times New Roman" w:hAnsi="Times New Roman"/>
          <w:sz w:val="14"/>
          <w:szCs w:val="14"/>
          <w:color w:val="auto"/>
        </w:rPr>
        <w:t>The selling securityholders and any broker-dealers or agents that are involved in selling the shares may be deemed to be “underwriters” within the meaning of the Securities Act in connection with such sales (it being understood that the selling securityholders shall not be deemed to be underwriters solely as a result of their participation in this offering). In such event, any profits realized by such selling securityholders or compensation received by such broker-dealers or agents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45" w:lineRule="exact"/>
        <w:rPr>
          <w:sz w:val="20"/>
          <w:szCs w:val="20"/>
          <w:color w:val="auto"/>
        </w:rPr>
      </w:pPr>
    </w:p>
    <w:p>
      <w:pPr>
        <w:ind w:left="1360" w:right="379" w:firstLine="342"/>
        <w:spacing w:after="0" w:line="266" w:lineRule="auto"/>
        <w:rPr>
          <w:sz w:val="20"/>
          <w:szCs w:val="20"/>
          <w:color w:val="auto"/>
        </w:rPr>
      </w:pPr>
      <w:r>
        <w:rPr>
          <w:rFonts w:ascii="Times New Roman" w:cs="Times New Roman" w:eastAsia="Times New Roman" w:hAnsi="Times New Roman"/>
          <w:sz w:val="14"/>
          <w:szCs w:val="14"/>
          <w:color w:val="auto"/>
        </w:rPr>
        <w:t>We have advised the selling securityholders that they are required to comply with Regulation M promulgated under the Securities Exchange Act of 1934, as amended, during such time as they may be engaged in a distribution of the shares. The foregoing may affect the marketability of the Ordinary Shares.</w:t>
      </w:r>
    </w:p>
    <w:p>
      <w:pPr>
        <w:spacing w:after="0" w:line="136" w:lineRule="exact"/>
        <w:rPr>
          <w:sz w:val="20"/>
          <w:szCs w:val="20"/>
          <w:color w:val="auto"/>
        </w:rPr>
      </w:pPr>
    </w:p>
    <w:p>
      <w:pPr>
        <w:ind w:left="1360" w:right="459" w:firstLine="342"/>
        <w:spacing w:after="0" w:line="261" w:lineRule="auto"/>
        <w:rPr>
          <w:sz w:val="20"/>
          <w:szCs w:val="20"/>
          <w:color w:val="auto"/>
        </w:rPr>
      </w:pPr>
      <w:r>
        <w:rPr>
          <w:rFonts w:ascii="Times New Roman" w:cs="Times New Roman" w:eastAsia="Times New Roman" w:hAnsi="Times New Roman"/>
          <w:sz w:val="14"/>
          <w:szCs w:val="14"/>
          <w:color w:val="auto"/>
        </w:rPr>
        <w:t>The aggregate proceeds to the selling securityholders from the sale of the Ordinary Shares offered by them will be the purchase price of the Ordinary Shares less discounts or commissions, if any. Each of the selling securityholders reserves the right to accept and, together with their agents from time to time, to reject, in whole or in part, any proposed purchase of Ordinary Shares to be made directly or through agents. We will not receive any of the proceeds from this offering.</w:t>
      </w:r>
    </w:p>
    <w:p>
      <w:pPr>
        <w:spacing w:after="0" w:line="139" w:lineRule="exact"/>
        <w:rPr>
          <w:sz w:val="20"/>
          <w:szCs w:val="20"/>
          <w:color w:val="auto"/>
        </w:rPr>
      </w:pPr>
    </w:p>
    <w:p>
      <w:pPr>
        <w:ind w:left="1360" w:right="499" w:firstLine="342"/>
        <w:spacing w:after="0" w:line="282" w:lineRule="auto"/>
        <w:rPr>
          <w:sz w:val="20"/>
          <w:szCs w:val="20"/>
          <w:color w:val="auto"/>
        </w:rPr>
      </w:pPr>
      <w:r>
        <w:rPr>
          <w:rFonts w:ascii="Times New Roman" w:cs="Times New Roman" w:eastAsia="Times New Roman" w:hAnsi="Times New Roman"/>
          <w:sz w:val="14"/>
          <w:szCs w:val="14"/>
          <w:color w:val="auto"/>
        </w:rPr>
        <w:t>We are required to pay all fees and expenses incident to the registration of the shares. We have agreed to indemnify the selling securityholders against certain losses, claims, damages and liabilities, including liabilities under the Securities Act or otherwise.</w:t>
      </w:r>
    </w:p>
    <w:p>
      <w:pPr>
        <w:spacing w:after="0" w:line="125" w:lineRule="exact"/>
        <w:rPr>
          <w:sz w:val="20"/>
          <w:szCs w:val="20"/>
          <w:color w:val="auto"/>
        </w:rPr>
      </w:pPr>
    </w:p>
    <w:p>
      <w:pPr>
        <w:ind w:left="1360" w:right="419" w:firstLine="342"/>
        <w:spacing w:after="0" w:line="261" w:lineRule="auto"/>
        <w:rPr>
          <w:sz w:val="20"/>
          <w:szCs w:val="20"/>
          <w:color w:val="auto"/>
        </w:rPr>
      </w:pPr>
      <w:r>
        <w:rPr>
          <w:rFonts w:ascii="Times New Roman" w:cs="Times New Roman" w:eastAsia="Times New Roman" w:hAnsi="Times New Roman"/>
          <w:sz w:val="14"/>
          <w:szCs w:val="14"/>
          <w:color w:val="auto"/>
        </w:rPr>
        <w:t>We have agreed with the selling securityholders to keep the registration statement of which this prospectus constitutes a part effective until the earliest of (a) such time as all of the shares covered by this prospectus have been disposed of pursuant to and in accordance with the registration statement and (b) such time as the shares become eligible for resale by non-Affiliates without any volume limitations or other restrictions and without the current public information requirement pursuant to Rule 144(b)(1)(i) or any other rule of similar effect.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validity of our Ordinary Shares and certain other matters of Cayman Islands law will be passed upon for us by Appleby (Cayman) Ltd.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Certain legal matters as to PRC law will be passed upon for us by Jingtian &amp; Gongcheng.</w:t>
      </w:r>
    </w:p>
    <w:p>
      <w:pPr>
        <w:spacing w:after="0" w:line="3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379" w:firstLine="342"/>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Connect Biopharma Holdings Limited as of December 31, 2025 and 2024 and for the years then ended, which are incorporated in this prospectus by reference to the Annual Report on Form 10-K for the year ended December 31, 2025, have been so incorporated in reliance on the report of CBIZ CPAs P.C., an independent registered public accounting firm, given on the authority of said firm as experts in auditing and accounting.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9"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3" w:lineRule="exact"/>
        <w:rPr>
          <w:sz w:val="20"/>
          <w:szCs w:val="20"/>
          <w:color w:val="auto"/>
        </w:rPr>
      </w:pPr>
    </w:p>
    <w:p>
      <w:pPr>
        <w:ind w:left="1360" w:right="719" w:firstLine="342"/>
        <w:spacing w:after="0" w:line="266"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36" w:lineRule="exact"/>
        <w:rPr>
          <w:sz w:val="20"/>
          <w:szCs w:val="20"/>
          <w:color w:val="auto"/>
        </w:rPr>
      </w:pPr>
    </w:p>
    <w:p>
      <w:pPr>
        <w:ind w:left="1360" w:right="319" w:firstLine="342"/>
        <w:spacing w:after="0" w:line="256" w:lineRule="auto"/>
        <w:rPr>
          <w:sz w:val="20"/>
          <w:szCs w:val="20"/>
          <w:color w:val="auto"/>
        </w:rPr>
      </w:pPr>
      <w:r>
        <w:rPr>
          <w:rFonts w:ascii="Times New Roman" w:cs="Times New Roman" w:eastAsia="Times New Roman" w:hAnsi="Times New Roman"/>
          <w:sz w:val="14"/>
          <w:szCs w:val="14"/>
          <w:color w:val="auto"/>
        </w:rPr>
        <w:t>Our amended and restated articles of association provide that we shall indemnify our directors and officers (each an indemnified person) against all actions, costs, charges, expenses, losses, and damages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as a director or officer of our company, which is to include without prejudice to the generality of the foregoing, any costs, expenses, losses or damages incurred by such indemnified person in defending (whether successfully or otherwise) any civil proceedings concerning our company or its affairs in any court whether in the Cayman Islands or elsewhere.</w:t>
      </w:r>
    </w:p>
    <w:p>
      <w:pPr>
        <w:spacing w:after="0" w:line="145" w:lineRule="exact"/>
        <w:rPr>
          <w:sz w:val="20"/>
          <w:szCs w:val="20"/>
          <w:color w:val="auto"/>
        </w:rPr>
      </w:pPr>
    </w:p>
    <w:p>
      <w:pPr>
        <w:ind w:left="1360" w:right="299" w:firstLine="342"/>
        <w:spacing w:after="0" w:line="266" w:lineRule="auto"/>
        <w:rPr>
          <w:sz w:val="20"/>
          <w:szCs w:val="20"/>
          <w:color w:val="auto"/>
        </w:rPr>
      </w:pPr>
      <w:r>
        <w:rPr>
          <w:rFonts w:ascii="Times New Roman" w:cs="Times New Roman" w:eastAsia="Times New Roman" w:hAnsi="Times New Roman"/>
          <w:sz w:val="14"/>
          <w:szCs w:val="14"/>
          <w:color w:val="auto"/>
        </w:rPr>
        <w:t>Pursuant to the indemnification agreements, the form of which was filed as Exhibit 10.2 to the Registration Statement on Form F-1, as amended (File No. 333-253631), which was declared effective by the SEC on March 18, 2021, we agree to indemnify our directors and executive officers against certain liabilities and expenses incurred by such persons in connection with claims made by reason of their being such a director or officer.</w:t>
      </w:r>
    </w:p>
    <w:p>
      <w:pPr>
        <w:spacing w:after="0" w:line="136" w:lineRule="exact"/>
        <w:rPr>
          <w:sz w:val="20"/>
          <w:szCs w:val="20"/>
          <w:color w:val="auto"/>
        </w:rPr>
      </w:pPr>
    </w:p>
    <w:p>
      <w:pPr>
        <w:ind w:left="1360" w:right="319" w:firstLine="342"/>
        <w:spacing w:after="0" w:line="26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50"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exhibits listed on the exhibit index at the end of this Registration Statement have been furnished together with this Registration Statement.</w:t>
      </w:r>
    </w:p>
    <w:p>
      <w:pPr>
        <w:spacing w:after="0" w:line="288"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175" w:lineRule="exact"/>
        <w:rPr>
          <w:sz w:val="20"/>
          <w:szCs w:val="20"/>
          <w:color w:val="auto"/>
        </w:rPr>
      </w:pPr>
    </w:p>
    <w:p>
      <w:pPr>
        <w:ind w:left="1880" w:hanging="175"/>
        <w:spacing w:after="0"/>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4"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to include any prospectus required by Section 10(a)(3) of the Securities Act of 1933;</w:t>
      </w:r>
    </w:p>
    <w:p>
      <w:pPr>
        <w:spacing w:after="0" w:line="175" w:lineRule="exact"/>
        <w:rPr>
          <w:sz w:val="20"/>
          <w:szCs w:val="20"/>
          <w:color w:val="auto"/>
        </w:rPr>
      </w:pPr>
    </w:p>
    <w:p>
      <w:pPr>
        <w:ind w:left="1360" w:right="319" w:firstLine="345"/>
        <w:spacing w:after="0" w:line="256" w:lineRule="auto"/>
        <w:tabs>
          <w:tab w:leader="none" w:pos="1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659" w:firstLine="345"/>
        <w:spacing w:after="0" w:line="282" w:lineRule="auto"/>
        <w:tabs>
          <w:tab w:leader="none" w:pos="1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ind w:left="1360" w:right="299" w:firstLine="342"/>
        <w:spacing w:after="0" w:line="262"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(a)(i)(1), (a)(i)(2) and (a)(i)(3)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8" w:lineRule="exact"/>
        <w:rPr>
          <w:sz w:val="20"/>
          <w:szCs w:val="20"/>
          <w:color w:val="auto"/>
        </w:rPr>
      </w:pPr>
    </w:p>
    <w:p>
      <w:pPr>
        <w:ind w:left="1360" w:right="239" w:firstLine="345"/>
        <w:spacing w:after="0" w:line="266" w:lineRule="auto"/>
        <w:tabs>
          <w:tab w:leader="none" w:pos="190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left="1360" w:right="679" w:firstLine="345"/>
        <w:spacing w:after="0" w:line="282" w:lineRule="auto"/>
        <w:tabs>
          <w:tab w:leader="none" w:pos="194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5" w:lineRule="exact"/>
        <w:rPr>
          <w:rFonts w:ascii="Times New Roman" w:cs="Times New Roman" w:eastAsia="Times New Roman" w:hAnsi="Times New Roman"/>
          <w:sz w:val="14"/>
          <w:szCs w:val="14"/>
          <w:color w:val="auto"/>
        </w:rPr>
      </w:pPr>
    </w:p>
    <w:p>
      <w:pPr>
        <w:ind w:left="1360" w:right="279" w:firstLine="345"/>
        <w:spacing w:after="0" w:line="254" w:lineRule="auto"/>
        <w:tabs>
          <w:tab w:leader="none" w:pos="193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or Item 8 of Form 10-K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S-X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47" w:lineRule="exact"/>
        <w:rPr>
          <w:rFonts w:ascii="Times New Roman" w:cs="Times New Roman" w:eastAsia="Times New Roman" w:hAnsi="Times New Roman"/>
          <w:sz w:val="14"/>
          <w:szCs w:val="14"/>
          <w:color w:val="auto"/>
        </w:rPr>
      </w:pPr>
    </w:p>
    <w:p>
      <w:pPr>
        <w:ind w:left="1900" w:hanging="195"/>
        <w:spacing w:after="0"/>
        <w:tabs>
          <w:tab w:leader="none" w:pos="1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5" w:lineRule="exact"/>
        <w:rPr>
          <w:sz w:val="20"/>
          <w:szCs w:val="20"/>
          <w:color w:val="auto"/>
        </w:rPr>
      </w:pPr>
    </w:p>
    <w:p>
      <w:pPr>
        <w:ind w:left="1360" w:right="459" w:firstLine="345"/>
        <w:spacing w:after="0" w:line="282" w:lineRule="auto"/>
        <w:tabs>
          <w:tab w:leader="none" w:pos="1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left="1360" w:right="239" w:firstLine="345"/>
        <w:spacing w:after="0" w:line="253" w:lineRule="auto"/>
        <w:tabs>
          <w:tab w:leader="none" w:pos="1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sz w:val="20"/>
          <w:szCs w:val="20"/>
          <w:color w:val="auto"/>
        </w:rPr>
      </w:pPr>
    </w:p>
    <w:p>
      <w:pPr>
        <w:ind w:left="1360" w:right="299" w:firstLine="345"/>
        <w:spacing w:after="0" w:line="296" w:lineRule="auto"/>
        <w:tabs>
          <w:tab w:leader="none" w:pos="193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undersigned registrant under the Securities Act of 1933 to any purchaser in the initial distribution of the securities of the undersigned registrant, the undersigned registrant undertakes that in a primary offering of its securities pursuant to this Registration Statement, regardless of the underwriting method used to sell the securities to the purchaser, if the securities are offered or sold to such</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0" w:lineRule="exact"/>
        <w:rPr>
          <w:sz w:val="20"/>
          <w:szCs w:val="20"/>
          <w:color w:val="auto"/>
        </w:rPr>
      </w:pPr>
    </w:p>
    <w:p>
      <w:pPr>
        <w:ind w:left="1360" w:right="359"/>
        <w:spacing w:after="0" w:line="282" w:lineRule="auto"/>
        <w:rPr>
          <w:sz w:val="20"/>
          <w:szCs w:val="20"/>
          <w:color w:val="auto"/>
        </w:rPr>
      </w:pPr>
      <w:r>
        <w:rPr>
          <w:rFonts w:ascii="Times New Roman" w:cs="Times New Roman" w:eastAsia="Times New Roman" w:hAnsi="Times New Roman"/>
          <w:sz w:val="14"/>
          <w:szCs w:val="14"/>
          <w:color w:val="auto"/>
        </w:rPr>
        <w:t>purchaser by means of any of the following communications, the undersigned registrant will be a seller to the purchaser and will be considered to offer or sell such securities to such purchaser:</w:t>
      </w:r>
    </w:p>
    <w:p>
      <w:pPr>
        <w:spacing w:after="0" w:line="125" w:lineRule="exact"/>
        <w:rPr>
          <w:sz w:val="20"/>
          <w:szCs w:val="20"/>
          <w:color w:val="auto"/>
        </w:rPr>
      </w:pPr>
    </w:p>
    <w:p>
      <w:pPr>
        <w:ind w:left="1900" w:hanging="195"/>
        <w:spacing w:after="0"/>
        <w:tabs>
          <w:tab w:leader="none" w:pos="1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4" w:lineRule="exact"/>
        <w:rPr>
          <w:rFonts w:ascii="Times New Roman" w:cs="Times New Roman" w:eastAsia="Times New Roman" w:hAnsi="Times New Roman"/>
          <w:sz w:val="14"/>
          <w:szCs w:val="14"/>
          <w:color w:val="auto"/>
        </w:rPr>
      </w:pPr>
    </w:p>
    <w:p>
      <w:pPr>
        <w:ind w:left="1360" w:right="799" w:firstLine="345"/>
        <w:spacing w:after="0" w:line="282" w:lineRule="auto"/>
        <w:tabs>
          <w:tab w:leader="none" w:pos="1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5" w:lineRule="exact"/>
        <w:rPr>
          <w:rFonts w:ascii="Times New Roman" w:cs="Times New Roman" w:eastAsia="Times New Roman" w:hAnsi="Times New Roman"/>
          <w:sz w:val="14"/>
          <w:szCs w:val="14"/>
          <w:color w:val="auto"/>
        </w:rPr>
      </w:pPr>
    </w:p>
    <w:p>
      <w:pPr>
        <w:ind w:left="1360" w:right="359" w:firstLine="345"/>
        <w:spacing w:after="0" w:line="282" w:lineRule="auto"/>
        <w:tabs>
          <w:tab w:leader="none" w:pos="1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5" w:lineRule="exact"/>
        <w:rPr>
          <w:rFonts w:ascii="Times New Roman" w:cs="Times New Roman" w:eastAsia="Times New Roman" w:hAnsi="Times New Roman"/>
          <w:sz w:val="14"/>
          <w:szCs w:val="14"/>
          <w:color w:val="auto"/>
        </w:rPr>
      </w:pPr>
    </w:p>
    <w:p>
      <w:pPr>
        <w:ind w:left="1900" w:hanging="195"/>
        <w:spacing w:after="0"/>
        <w:tabs>
          <w:tab w:leader="none" w:pos="1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5" w:lineRule="exact"/>
        <w:rPr>
          <w:sz w:val="20"/>
          <w:szCs w:val="20"/>
          <w:color w:val="auto"/>
        </w:rPr>
      </w:pPr>
    </w:p>
    <w:p>
      <w:pPr>
        <w:ind w:left="1360" w:right="259" w:firstLine="345"/>
        <w:spacing w:after="0" w:line="261" w:lineRule="auto"/>
        <w:tabs>
          <w:tab w:leader="none" w:pos="1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ind w:left="1360" w:right="259" w:firstLine="345"/>
        <w:spacing w:after="0" w:line="254" w:lineRule="auto"/>
        <w:tabs>
          <w:tab w:leader="none" w:pos="189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14"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120" w:type="dxa"/>
            <w:vAlign w:val="bottom"/>
            <w:gridSpan w:val="10"/>
          </w:tcPr>
          <w:p>
            <w:pPr>
              <w:jc w:val="center"/>
              <w:ind w:right="3480"/>
              <w:spacing w:after="0"/>
              <w:rPr>
                <w:sz w:val="20"/>
                <w:szCs w:val="20"/>
                <w:color w:val="auto"/>
              </w:rPr>
            </w:pPr>
            <w:r>
              <w:rPr>
                <w:rFonts w:ascii="Times New Roman" w:cs="Times New Roman" w:eastAsia="Times New Roman" w:hAnsi="Times New Roman"/>
                <w:sz w:val="14"/>
                <w:szCs w:val="14"/>
                <w:b w:val="1"/>
                <w:bCs w:val="1"/>
                <w:color w:val="auto"/>
                <w:w w:val="99"/>
              </w:rPr>
              <w:t>EXHIBIT INDEX</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40" w:type="dxa"/>
            <w:vAlign w:val="bottom"/>
            <w:tcBorders>
              <w:bottom w:val="single" w:sz="8" w:color="auto"/>
            </w:tcBorders>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440" w:type="dxa"/>
            <w:vAlign w:val="bottom"/>
          </w:tcPr>
          <w:p>
            <w:pPr>
              <w:spacing w:after="0"/>
              <w:rPr>
                <w:sz w:val="18"/>
                <w:szCs w:val="18"/>
                <w:color w:val="auto"/>
              </w:rPr>
            </w:pPr>
          </w:p>
        </w:tc>
        <w:tc>
          <w:tcPr>
            <w:tcW w:w="73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Fifth Amended and Restated Memorandum of Association of Connect Biopharma Holdings Limited (attached as Exhibit 1.1 to the</w:t>
              </w:r>
            </w:hyperlink>
          </w:p>
        </w:tc>
        <w:tc>
          <w:tcPr>
            <w:tcW w:w="3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4"/>
          </w:tcPr>
          <w:p>
            <w:pPr>
              <w:spacing w:after="0" w:line="148"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Company’s Form 20-F for the year ended December 31, 2021, filed with the SEC on March 31, 2022 (File No. 001-40212), and</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160" w:type="dxa"/>
            <w:vAlign w:val="bottom"/>
            <w:tcBorders>
              <w:top w:val="single" w:sz="8" w:color="0000EE"/>
            </w:tcBorders>
            <w:gridSpan w:val="9"/>
          </w:tcPr>
          <w:p>
            <w:pPr>
              <w:spacing w:after="0" w:line="148"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incorporated herein by reference).</w:t>
              </w:r>
            </w:hyperlink>
          </w:p>
        </w:tc>
        <w:tc>
          <w:tcPr>
            <w:tcW w:w="5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440" w:type="dxa"/>
            <w:vAlign w:val="bottom"/>
          </w:tcPr>
          <w:p>
            <w:pPr>
              <w:spacing w:after="0"/>
              <w:rPr>
                <w:sz w:val="20"/>
                <w:szCs w:val="20"/>
                <w:color w:val="auto"/>
              </w:rPr>
            </w:pPr>
          </w:p>
        </w:tc>
        <w:tc>
          <w:tcPr>
            <w:tcW w:w="76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Specimen Certificate for Ordinary Shares (attached as Exhibit 4.1 to the Company’s Form F-1/A, filed with the SEC on March 12, 2021</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Borders>
              <w:bottom w:val="single" w:sz="8" w:color="0000EE"/>
            </w:tcBorders>
            <w:gridSpan w:val="6"/>
          </w:tcPr>
          <w:p>
            <w:pPr>
              <w:spacing w:after="0" w:line="148" w:lineRule="exact"/>
              <w:rPr>
                <w:rFonts w:ascii="Times New Roman" w:cs="Times New Roman" w:eastAsia="Times New Roman" w:hAnsi="Times New Roman"/>
                <w:sz w:val="14"/>
                <w:szCs w:val="14"/>
                <w:color w:val="0000EE"/>
                <w:w w:val="99"/>
              </w:rPr>
            </w:pPr>
            <w:hyperlink r:id="rId60">
              <w:r>
                <w:rPr>
                  <w:rFonts w:ascii="Times New Roman" w:cs="Times New Roman" w:eastAsia="Times New Roman" w:hAnsi="Times New Roman"/>
                  <w:sz w:val="14"/>
                  <w:szCs w:val="14"/>
                  <w:color w:val="0000EE"/>
                  <w:w w:val="99"/>
                </w:rPr>
                <w:t>(File No. 333-253631), and incorporated herein by reference).</w:t>
              </w:r>
            </w:hyperlink>
          </w:p>
        </w:tc>
        <w:tc>
          <w:tcPr>
            <w:tcW w:w="424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440" w:type="dxa"/>
            <w:vAlign w:val="bottom"/>
          </w:tcPr>
          <w:p>
            <w:pPr>
              <w:spacing w:after="0"/>
              <w:rPr>
                <w:sz w:val="20"/>
                <w:szCs w:val="20"/>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Opinion of Appleby (Cayman) Ltd.</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440" w:type="dxa"/>
            <w:vAlign w:val="bottom"/>
          </w:tcPr>
          <w:p>
            <w:pPr>
              <w:spacing w:after="0"/>
              <w:rPr>
                <w:sz w:val="20"/>
                <w:szCs w:val="20"/>
                <w:color w:val="auto"/>
              </w:rPr>
            </w:pPr>
          </w:p>
        </w:tc>
        <w:tc>
          <w:tcPr>
            <w:tcW w:w="76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Securities Purchase Agreement, dated March 29, 2026, by and among Connect Biopharma Holdings Limited and the purchasers named</w:t>
              </w:r>
            </w:hyperlink>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60" w:type="dxa"/>
            <w:vAlign w:val="bottom"/>
            <w:tcBorders>
              <w:bottom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therein (attached as Exhibit 10.1 to the Company’s Current Report on Form 8-K, filed with the SEC on March 30, 2026 (File No. 001-</w:t>
              </w:r>
            </w:hyperlink>
          </w:p>
        </w:tc>
        <w:tc>
          <w:tcPr>
            <w:tcW w:w="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4"/>
          </w:tcPr>
          <w:p>
            <w:pPr>
              <w:spacing w:after="0" w:line="148"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40212)</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 xml:space="preserve"> and incorporated herein by reference).</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440" w:type="dxa"/>
            <w:vAlign w:val="bottom"/>
          </w:tcPr>
          <w:p>
            <w:pPr>
              <w:spacing w:after="0"/>
              <w:rPr>
                <w:sz w:val="20"/>
                <w:szCs w:val="20"/>
                <w:color w:val="auto"/>
              </w:rPr>
            </w:pPr>
          </w:p>
        </w:tc>
        <w:tc>
          <w:tcPr>
            <w:tcW w:w="3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Consent of Appleby (Cayman) Ltd. (included in Exhibit 5.1).</w:t>
            </w:r>
          </w:p>
        </w:tc>
        <w:tc>
          <w:tcPr>
            <w:tcW w:w="42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23.2</w:t>
            </w:r>
          </w:p>
        </w:tc>
        <w:tc>
          <w:tcPr>
            <w:tcW w:w="440" w:type="dxa"/>
            <w:vAlign w:val="bottom"/>
          </w:tcPr>
          <w:p>
            <w:pPr>
              <w:spacing w:after="0"/>
              <w:rPr>
                <w:sz w:val="20"/>
                <w:szCs w:val="20"/>
                <w:color w:val="auto"/>
              </w:rPr>
            </w:pPr>
          </w:p>
        </w:tc>
        <w:tc>
          <w:tcPr>
            <w:tcW w:w="4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Consent of CBIZ CPAs P.C., independent registered public accounting firm.</w:t>
            </w:r>
          </w:p>
        </w:tc>
        <w:tc>
          <w:tcPr>
            <w:tcW w:w="34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w:t>
            </w:r>
          </w:p>
        </w:tc>
        <w:tc>
          <w:tcPr>
            <w:tcW w:w="440" w:type="dxa"/>
            <w:vAlign w:val="bottom"/>
          </w:tcPr>
          <w:p>
            <w:pPr>
              <w:spacing w:after="0"/>
              <w:rPr>
                <w:sz w:val="20"/>
                <w:szCs w:val="20"/>
                <w:color w:val="auto"/>
              </w:rPr>
            </w:pPr>
          </w:p>
        </w:tc>
        <w:tc>
          <w:tcPr>
            <w:tcW w:w="4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Powers of Attorney (incorporated by reference to the signature page hereto).</w:t>
            </w:r>
          </w:p>
        </w:tc>
        <w:tc>
          <w:tcPr>
            <w:tcW w:w="344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107.1</w:t>
            </w:r>
          </w:p>
        </w:tc>
        <w:tc>
          <w:tcPr>
            <w:tcW w:w="440" w:type="dxa"/>
            <w:vAlign w:val="bottom"/>
          </w:tcPr>
          <w:p>
            <w:pPr>
              <w:spacing w:after="0"/>
              <w:rPr>
                <w:sz w:val="20"/>
                <w:szCs w:val="20"/>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Filing Fee Table</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10"/>
          </w:tcPr>
          <w:p>
            <w:pPr>
              <w:jc w:val="center"/>
              <w:ind w:right="3480"/>
              <w:spacing w:after="0"/>
              <w:rPr>
                <w:sz w:val="20"/>
                <w:szCs w:val="20"/>
                <w:color w:val="auto"/>
              </w:rPr>
            </w:pPr>
            <w:r>
              <w:rPr>
                <w:rFonts w:ascii="Times New Roman" w:cs="Times New Roman" w:eastAsia="Times New Roman" w:hAnsi="Times New Roman"/>
                <w:sz w:val="14"/>
                <w:szCs w:val="14"/>
                <w:color w:val="auto"/>
                <w:w w:val="95"/>
              </w:rPr>
              <w:t>II-3</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1360" w:right="559" w:firstLine="342"/>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San Diego, California, on May 15, 2026.</w:t>
      </w:r>
    </w:p>
    <w:p>
      <w:pPr>
        <w:spacing w:after="0" w:line="15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CONNECT BIOPHARMA HOLDINGS LIMITED</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Barry D. 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13970</wp:posOffset>
            </wp:positionV>
            <wp:extent cx="201866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018665" cy="6350"/>
                    </a:xfrm>
                    <a:prstGeom prst="rect">
                      <a:avLst/>
                    </a:prstGeom>
                    <a:noFill/>
                  </pic:spPr>
                </pic:pic>
              </a:graphicData>
            </a:graphic>
          </wp:anchor>
        </w:drawing>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Barry D. Quart, Pharm.D.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7" w:lineRule="exact"/>
        <w:rPr>
          <w:sz w:val="20"/>
          <w:szCs w:val="20"/>
          <w:color w:val="auto"/>
        </w:rPr>
      </w:pPr>
    </w:p>
    <w:p>
      <w:pPr>
        <w:ind w:left="1360" w:right="239" w:firstLine="342"/>
        <w:spacing w:after="0" w:line="254"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Barry D. Quart as his or her true and lawful attorney-in-fact and agent, with full power of substitution and resubstitution, for him or her and in his or her name, place and stead, and in any and all capacities, to file and sign any and all amendments, including post-effective amendments, to this registration statement on Form F-3, and all instruments necessary or advisable in connection therewith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its substitute or substitutes, may lawfully do or cause to be done by virtue hereof. This power of attorney has been signed in the respective capacities and on the respective dates indicated below.</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16"/>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Barry D. Quart</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Barry D. Quart, Pharm.D.</w:t>
            </w:r>
          </w:p>
        </w:tc>
        <w:tc>
          <w:tcPr>
            <w:tcW w:w="80" w:type="dxa"/>
            <w:vAlign w:val="bottom"/>
          </w:tcPr>
          <w:p>
            <w:pPr>
              <w:spacing w:after="0"/>
              <w:rPr>
                <w:sz w:val="15"/>
                <w:szCs w:val="15"/>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Lisa Peraza</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Senior Vice President, Finance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Lisa Peraza, CPA</w:t>
            </w:r>
          </w:p>
        </w:tc>
        <w:tc>
          <w:tcPr>
            <w:tcW w:w="80" w:type="dxa"/>
            <w:vAlign w:val="bottom"/>
          </w:tcPr>
          <w:p>
            <w:pPr>
              <w:spacing w:after="0"/>
              <w:rPr>
                <w:sz w:val="15"/>
                <w:szCs w:val="15"/>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Kleanthis G. Xanthopoulos, Ph.D.</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Kleanthis G. Xanthopoulos, Ph.D.</w:t>
            </w: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James Z. Huang, MBA</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Z. Huang, MBA</w:t>
            </w: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Jean Liu, J.D.</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 Liu, J.D.</w:t>
            </w: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James A. Schoeneck</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A. Schoeneck</w:t>
            </w: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2"/>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Karen J. Wilson, CPA</w:t>
            </w:r>
          </w:p>
        </w:tc>
        <w:tc>
          <w:tcPr>
            <w:tcW w:w="8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15, 2026</w:t>
            </w:r>
          </w:p>
        </w:tc>
      </w:tr>
      <w:tr>
        <w:trPr>
          <w:trHeight w:val="173"/>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Karen J. Wilson, CPA</w:t>
            </w: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ectPr>
          <w:pgSz w:w="11900" w:h="16838" w:orient="portrait"/>
          <w:cols w:equalWidth="0" w:num="1">
            <w:col w:w="10159"/>
          </w:cols>
          <w:pgMar w:left="300" w:top="385" w:right="1440" w:bottom="1440" w:gutter="0" w:footer="0" w:header="0"/>
        </w:sectPr>
      </w:pPr>
    </w:p>
    <w:bookmarkStart w:id="32" w:name="page33"/>
    <w:bookmarkEnd w:id="32"/>
    <w:p>
      <w:pPr>
        <w:jc w:val="right"/>
        <w:ind w:right="239"/>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126365</wp:posOffset>
            </wp:positionV>
            <wp:extent cx="1159510" cy="106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59510" cy="10668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Connect Biopharma Holdings Limited</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3580 Carmel Mountain Road, Suite 200</w:t>
      </w:r>
    </w:p>
    <w:p>
      <w:pPr>
        <w:ind w:left="1940"/>
        <w:spacing w:after="0" w:line="234" w:lineRule="auto"/>
        <w:rPr>
          <w:sz w:val="20"/>
          <w:szCs w:val="20"/>
          <w:color w:val="auto"/>
        </w:rPr>
      </w:pPr>
      <w:r>
        <w:rPr>
          <w:rFonts w:ascii="Arial" w:cs="Arial" w:eastAsia="Arial" w:hAnsi="Arial"/>
          <w:sz w:val="14"/>
          <w:szCs w:val="14"/>
          <w:color w:val="auto"/>
        </w:rPr>
        <w:t>San Diego</w:t>
      </w:r>
    </w:p>
    <w:p>
      <w:pPr>
        <w:ind w:left="1940"/>
        <w:spacing w:after="0" w:line="235" w:lineRule="auto"/>
        <w:rPr>
          <w:sz w:val="20"/>
          <w:szCs w:val="20"/>
          <w:color w:val="auto"/>
        </w:rPr>
      </w:pPr>
      <w:r>
        <w:rPr>
          <w:rFonts w:ascii="Arial" w:cs="Arial" w:eastAsia="Arial" w:hAnsi="Arial"/>
          <w:sz w:val="14"/>
          <w:szCs w:val="14"/>
          <w:color w:val="auto"/>
        </w:rPr>
        <w:t>California 92130</w:t>
      </w:r>
    </w:p>
    <w:p>
      <w:pPr>
        <w:ind w:left="1940"/>
        <w:spacing w:after="0"/>
        <w:rPr>
          <w:sz w:val="20"/>
          <w:szCs w:val="20"/>
          <w:color w:val="auto"/>
        </w:rPr>
      </w:pPr>
      <w:r>
        <w:rPr>
          <w:rFonts w:ascii="Arial" w:cs="Arial" w:eastAsia="Arial" w:hAnsi="Arial"/>
          <w:sz w:val="14"/>
          <w:szCs w:val="14"/>
          <w:color w:val="auto"/>
        </w:rPr>
        <w:t>United States of America</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Addressee</w:t>
      </w:r>
      <w:r>
        <w:rPr>
          <w:rFonts w:ascii="Arial" w:cs="Arial" w:eastAsia="Arial" w:hAnsi="Arial"/>
          <w:sz w:val="14"/>
          <w:szCs w:val="14"/>
          <w:color w:val="auto"/>
        </w:rPr>
        <w:t>)</w:t>
      </w:r>
    </w:p>
    <w:p>
      <w:pPr>
        <w:sectPr>
          <w:pgSz w:w="11900" w:h="16838" w:orient="portrait"/>
          <w:cols w:equalWidth="0" w:num="1">
            <w:col w:w="9019"/>
          </w:cols>
          <w:pgMar w:left="1440" w:top="126"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Cayman Office</w:t>
      </w:r>
    </w:p>
    <w:p>
      <w:pPr>
        <w:spacing w:after="0" w:line="188" w:lineRule="exact"/>
        <w:rPr>
          <w:sz w:val="20"/>
          <w:szCs w:val="20"/>
          <w:color w:val="auto"/>
        </w:rPr>
      </w:pPr>
    </w:p>
    <w:p>
      <w:pPr>
        <w:jc w:val="right"/>
        <w:ind w:left="400"/>
        <w:spacing w:after="0" w:line="258" w:lineRule="auto"/>
        <w:rPr>
          <w:sz w:val="20"/>
          <w:szCs w:val="20"/>
          <w:color w:val="auto"/>
        </w:rPr>
      </w:pPr>
      <w:r>
        <w:rPr>
          <w:rFonts w:ascii="Arial" w:cs="Arial" w:eastAsia="Arial" w:hAnsi="Arial"/>
          <w:sz w:val="11"/>
          <w:szCs w:val="11"/>
          <w:color w:val="auto"/>
        </w:rPr>
        <w:t>Appleby (Cayman) Ltd. 9th Floor, 60 Nexus Way Camana Bay, Grand Cayman</w:t>
      </w:r>
    </w:p>
    <w:p>
      <w:pPr>
        <w:spacing w:after="0" w:line="64" w:lineRule="exact"/>
        <w:rPr>
          <w:sz w:val="20"/>
          <w:szCs w:val="20"/>
          <w:color w:val="auto"/>
        </w:rPr>
      </w:pPr>
    </w:p>
    <w:p>
      <w:pPr>
        <w:jc w:val="both"/>
        <w:ind w:left="1060" w:hanging="351"/>
        <w:spacing w:after="0" w:line="278" w:lineRule="auto"/>
        <w:rPr>
          <w:sz w:val="20"/>
          <w:szCs w:val="20"/>
          <w:color w:val="auto"/>
        </w:rPr>
      </w:pPr>
      <w:r>
        <w:rPr>
          <w:rFonts w:ascii="Arial" w:cs="Arial" w:eastAsia="Arial" w:hAnsi="Arial"/>
          <w:sz w:val="11"/>
          <w:szCs w:val="11"/>
          <w:color w:val="auto"/>
        </w:rPr>
        <w:t>PO Box 190, KY1-1104 Cayman Islands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Tel +1 345 949 4900</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1"/>
          <w:szCs w:val="11"/>
          <w:color w:val="auto"/>
        </w:rPr>
        <w:t>applebyglobal.com</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ind w:right="239"/>
        <w:spacing w:after="0"/>
        <w:rPr>
          <w:sz w:val="20"/>
          <w:szCs w:val="20"/>
          <w:color w:val="auto"/>
        </w:rPr>
      </w:pPr>
      <w:r>
        <w:rPr>
          <w:rFonts w:ascii="Arial" w:cs="Arial" w:eastAsia="Arial" w:hAnsi="Arial"/>
          <w:sz w:val="11"/>
          <w:szCs w:val="11"/>
          <w:color w:val="auto"/>
        </w:rPr>
        <w:t>15 May 2026</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Dear Sir or Madam</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Connect Biopharma Holdings Limited</w:t>
      </w:r>
    </w:p>
    <w:p>
      <w:pPr>
        <w:spacing w:after="0" w:line="91" w:lineRule="exact"/>
        <w:rPr>
          <w:sz w:val="20"/>
          <w:szCs w:val="20"/>
          <w:color w:val="auto"/>
        </w:rPr>
      </w:pPr>
    </w:p>
    <w:p>
      <w:pPr>
        <w:jc w:val="both"/>
        <w:ind w:right="239"/>
        <w:spacing w:after="0" w:line="244" w:lineRule="auto"/>
        <w:rPr>
          <w:sz w:val="20"/>
          <w:szCs w:val="20"/>
          <w:color w:val="auto"/>
        </w:rPr>
      </w:pPr>
      <w:r>
        <w:rPr>
          <w:rFonts w:ascii="Arial" w:cs="Arial" w:eastAsia="Arial" w:hAnsi="Arial"/>
          <w:sz w:val="14"/>
          <w:szCs w:val="14"/>
          <w:color w:val="auto"/>
        </w:rPr>
        <w:t>We have acted as Cayman Islands legal advisers to Connect Biopharma Holdings Limited (the “</w:t>
      </w:r>
      <w:r>
        <w:rPr>
          <w:rFonts w:ascii="Arial" w:cs="Arial" w:eastAsia="Arial" w:hAnsi="Arial"/>
          <w:sz w:val="14"/>
          <w:szCs w:val="14"/>
          <w:b w:val="1"/>
          <w:bCs w:val="1"/>
          <w:color w:val="auto"/>
        </w:rPr>
        <w:t>Company</w:t>
      </w:r>
      <w:r>
        <w:rPr>
          <w:rFonts w:ascii="Arial" w:cs="Arial" w:eastAsia="Arial" w:hAnsi="Arial"/>
          <w:sz w:val="14"/>
          <w:szCs w:val="14"/>
          <w:color w:val="auto"/>
        </w:rPr>
        <w:t>”) in connection with the filing with the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 under the U.S. Securities Act of 1933, as amended, to date of the Company’s registration statement on Form F-3 dated 15 May 2026, including all amendments or supplements thereto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relating to the resale of up to 6,130,000 ordinary shares of the Company with par value $0.000174 each (the “</w:t>
      </w:r>
      <w:r>
        <w:rPr>
          <w:rFonts w:ascii="Arial" w:cs="Arial" w:eastAsia="Arial" w:hAnsi="Arial"/>
          <w:sz w:val="14"/>
          <w:szCs w:val="14"/>
          <w:b w:val="1"/>
          <w:bCs w:val="1"/>
          <w:color w:val="auto"/>
        </w:rPr>
        <w:t>Ordinary</w:t>
      </w:r>
      <w:r>
        <w:rPr>
          <w:rFonts w:ascii="Arial" w:cs="Arial" w:eastAsia="Arial" w:hAnsi="Arial"/>
          <w:sz w:val="14"/>
          <w:szCs w:val="14"/>
          <w:color w:val="auto"/>
        </w:rPr>
        <w:t xml:space="preserve"> </w:t>
      </w:r>
      <w:r>
        <w:rPr>
          <w:rFonts w:ascii="Arial" w:cs="Arial" w:eastAsia="Arial" w:hAnsi="Arial"/>
          <w:sz w:val="14"/>
          <w:szCs w:val="14"/>
          <w:b w:val="1"/>
          <w:bCs w:val="1"/>
          <w:color w:val="auto"/>
        </w:rPr>
        <w:t>Shares</w:t>
      </w:r>
      <w:r>
        <w:rPr>
          <w:rFonts w:ascii="Arial" w:cs="Arial" w:eastAsia="Arial" w:hAnsi="Arial"/>
          <w:sz w:val="14"/>
          <w:szCs w:val="14"/>
          <w:color w:val="auto"/>
        </w:rPr>
        <w:t>”), as more particularly described in the Registration Statement.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b w:val="1"/>
          <w:bCs w:val="1"/>
          <w:color w:val="auto"/>
        </w:rPr>
        <w:t>DOCUMENTS REVIEWED</w:t>
      </w:r>
    </w:p>
    <w:p>
      <w:pPr>
        <w:spacing w:after="0" w:line="91" w:lineRule="exact"/>
        <w:rPr>
          <w:sz w:val="20"/>
          <w:szCs w:val="20"/>
          <w:color w:val="auto"/>
        </w:rPr>
      </w:pPr>
    </w:p>
    <w:p>
      <w:pPr>
        <w:sectPr>
          <w:pgSz w:w="11900" w:h="16838" w:orient="portrait"/>
          <w:cols w:equalWidth="0" w:num="2">
            <w:col w:w="1860" w:space="80"/>
            <w:col w:w="7079"/>
          </w:cols>
          <w:pgMar w:left="1440" w:top="126" w:right="1440" w:bottom="1440" w:gutter="0" w:footer="0" w:header="0"/>
          <w:type w:val="continuous"/>
        </w:sectPr>
      </w:pPr>
    </w:p>
    <w:p>
      <w:pPr>
        <w:ind w:left="1940" w:right="239"/>
        <w:spacing w:after="0" w:line="269" w:lineRule="auto"/>
        <w:rPr>
          <w:sz w:val="20"/>
          <w:szCs w:val="20"/>
          <w:color w:val="auto"/>
        </w:rPr>
      </w:pPr>
      <w:r>
        <w:rPr>
          <w:rFonts w:ascii="Arial" w:cs="Arial" w:eastAsia="Arial" w:hAnsi="Arial"/>
          <w:sz w:val="14"/>
          <w:szCs w:val="14"/>
          <w:color w:val="auto"/>
        </w:rPr>
        <w:t>For the purposes of this opinion, we have reviewed only originals, copies or final drafts of the following documents:</w:t>
      </w:r>
    </w:p>
    <w:p>
      <w:pPr>
        <w:spacing w:after="0" w:line="48" w:lineRule="exact"/>
        <w:rPr>
          <w:sz w:val="20"/>
          <w:szCs w:val="20"/>
          <w:color w:val="auto"/>
        </w:rPr>
      </w:pPr>
    </w:p>
    <w:p>
      <w:pPr>
        <w:ind w:left="2220" w:right="239" w:hanging="279"/>
        <w:spacing w:after="0" w:line="269" w:lineRule="auto"/>
        <w:rPr>
          <w:sz w:val="20"/>
          <w:szCs w:val="20"/>
          <w:color w:val="auto"/>
        </w:rPr>
      </w:pPr>
      <w:r>
        <w:rPr>
          <w:rFonts w:ascii="Arial" w:cs="Arial" w:eastAsia="Arial" w:hAnsi="Arial"/>
          <w:sz w:val="14"/>
          <w:szCs w:val="14"/>
          <w:color w:val="auto"/>
        </w:rPr>
        <w:t>1.1   The certificate of incorporation dated 20 November 2015 issued by the Registrar of Companies in the Cayman Islands.</w:t>
      </w:r>
    </w:p>
    <w:p>
      <w:pPr>
        <w:spacing w:after="0" w:line="48" w:lineRule="exact"/>
        <w:rPr>
          <w:sz w:val="20"/>
          <w:szCs w:val="20"/>
          <w:color w:val="auto"/>
        </w:rPr>
      </w:pPr>
    </w:p>
    <w:p>
      <w:pPr>
        <w:jc w:val="right"/>
        <w:ind w:left="1940" w:right="239"/>
        <w:spacing w:after="0" w:line="281" w:lineRule="auto"/>
        <w:rPr>
          <w:sz w:val="20"/>
          <w:szCs w:val="20"/>
          <w:color w:val="auto"/>
        </w:rPr>
      </w:pPr>
      <w:r>
        <w:rPr>
          <w:rFonts w:ascii="Arial" w:cs="Arial" w:eastAsia="Arial" w:hAnsi="Arial"/>
          <w:sz w:val="14"/>
          <w:szCs w:val="14"/>
          <w:color w:val="auto"/>
        </w:rPr>
        <w:t>1.2   The fifth amended and restated memorandum and articles of association of the Company as adopted by special resolution passed on 12 March 2021, effective 23 March 2021 (the “</w:t>
      </w:r>
      <w:r>
        <w:rPr>
          <w:rFonts w:ascii="Arial" w:cs="Arial" w:eastAsia="Arial" w:hAnsi="Arial"/>
          <w:sz w:val="14"/>
          <w:szCs w:val="14"/>
          <w:b w:val="1"/>
          <w:bCs w:val="1"/>
          <w:color w:val="auto"/>
        </w:rPr>
        <w:t>Memorandum and Articles</w:t>
      </w:r>
      <w:r>
        <w:rPr>
          <w:rFonts w:ascii="Arial" w:cs="Arial" w:eastAsia="Arial" w:hAnsi="Arial"/>
          <w:sz w:val="14"/>
          <w:szCs w:val="14"/>
          <w:color w:val="auto"/>
        </w:rPr>
        <w:t>”).</w:t>
      </w:r>
    </w:p>
    <w:p>
      <w:pPr>
        <w:spacing w:after="0" w:line="3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1.3   A copy of the resolutions of the board of directors of the Company dated 29 March 2026 (the “</w:t>
      </w:r>
      <w:r>
        <w:rPr>
          <w:rFonts w:ascii="Arial" w:cs="Arial" w:eastAsia="Arial" w:hAnsi="Arial"/>
          <w:sz w:val="14"/>
          <w:szCs w:val="14"/>
          <w:b w:val="1"/>
          <w:bCs w:val="1"/>
          <w:color w:val="auto"/>
        </w:rPr>
        <w:t>Directors’</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Resolutions</w:t>
      </w:r>
      <w:r>
        <w:rPr>
          <w:rFonts w:ascii="Arial" w:cs="Arial" w:eastAsia="Arial" w:hAnsi="Arial"/>
          <w:sz w:val="14"/>
          <w:szCs w:val="14"/>
          <w:color w:val="auto"/>
        </w:rPr>
        <w:t>”).</w:t>
      </w:r>
    </w:p>
    <w:p>
      <w:pPr>
        <w:spacing w:after="0" w:line="77"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1.4   A certificate from a director of the Company, a copy of which is attached hereto (the “</w:t>
      </w:r>
      <w:r>
        <w:rPr>
          <w:rFonts w:ascii="Arial" w:cs="Arial" w:eastAsia="Arial" w:hAnsi="Arial"/>
          <w:sz w:val="14"/>
          <w:szCs w:val="14"/>
          <w:b w:val="1"/>
          <w:bCs w:val="1"/>
          <w:color w:val="auto"/>
        </w:rPr>
        <w:t>Director’s</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Certificate</w:t>
      </w:r>
      <w:r>
        <w:rPr>
          <w:rFonts w:ascii="Arial" w:cs="Arial" w:eastAsia="Arial" w:hAnsi="Arial"/>
          <w:sz w:val="14"/>
          <w:szCs w:val="14"/>
          <w:color w:val="auto"/>
        </w:rPr>
        <w:t>”).</w:t>
      </w:r>
    </w:p>
    <w:p>
      <w:pPr>
        <w:spacing w:after="0" w:line="137"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Appleby (Cayman) Ltd. (the</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Legal Practice) is a company</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limited by shares incorporated in</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the Cayman Islands and</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approved and recognised under</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the Legal Practitioners</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(Incorporated Practice)</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Regulations 2006 (as amended).</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“Partner” is a title referring to a</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director, shareholder or an</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employee of the Legal Practice.</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A list of such persons can be</w:t>
            </w:r>
          </w:p>
        </w:tc>
        <w:tc>
          <w:tcPr>
            <w:tcW w:w="6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60" w:type="dxa"/>
            <w:vAlign w:val="bottom"/>
          </w:tcPr>
          <w:p>
            <w:pPr>
              <w:jc w:val="right"/>
              <w:spacing w:after="0"/>
              <w:rPr>
                <w:sz w:val="20"/>
                <w:szCs w:val="20"/>
                <w:color w:val="auto"/>
              </w:rPr>
            </w:pPr>
            <w:r>
              <w:rPr>
                <w:rFonts w:ascii="Arial" w:cs="Arial" w:eastAsia="Arial" w:hAnsi="Arial"/>
                <w:sz w:val="11"/>
                <w:szCs w:val="11"/>
                <w:color w:val="auto"/>
              </w:rPr>
              <w:t>obtained from your relationship</w:t>
            </w:r>
          </w:p>
        </w:tc>
        <w:tc>
          <w:tcPr>
            <w:tcW w:w="6820" w:type="dxa"/>
            <w:vAlign w:val="bottom"/>
            <w:vMerge w:val="restart"/>
          </w:tcPr>
          <w:p>
            <w:pPr>
              <w:ind w:left="40"/>
              <w:spacing w:after="0"/>
              <w:rPr>
                <w:sz w:val="20"/>
                <w:szCs w:val="20"/>
                <w:color w:val="auto"/>
              </w:rPr>
            </w:pPr>
            <w:r>
              <w:rPr>
                <w:rFonts w:ascii="Arial" w:cs="Arial" w:eastAsia="Arial" w:hAnsi="Arial"/>
                <w:sz w:val="11"/>
                <w:szCs w:val="11"/>
                <w:color w:val="auto"/>
              </w:rPr>
              <w:t>Bermuda  British Virgin Islands  Cayman Islands  Guernsey  Hong Kong  Isle of Man  Jersey  Mauritius  Seychelles  Shanghai</w:t>
            </w:r>
          </w:p>
        </w:tc>
        <w:tc>
          <w:tcPr>
            <w:tcW w:w="0" w:type="dxa"/>
            <w:vAlign w:val="bottom"/>
          </w:tcPr>
          <w:p>
            <w:pPr>
              <w:spacing w:after="0"/>
              <w:rPr>
                <w:sz w:val="1"/>
                <w:szCs w:val="1"/>
                <w:color w:val="auto"/>
              </w:rPr>
            </w:pPr>
          </w:p>
        </w:tc>
      </w:tr>
      <w:tr>
        <w:trPr>
          <w:trHeight w:val="147"/>
        </w:trPr>
        <w:tc>
          <w:tcPr>
            <w:tcW w:w="1660" w:type="dxa"/>
            <w:vAlign w:val="bottom"/>
          </w:tcPr>
          <w:p>
            <w:pPr>
              <w:jc w:val="right"/>
              <w:spacing w:after="0"/>
              <w:rPr>
                <w:sz w:val="20"/>
                <w:szCs w:val="20"/>
                <w:color w:val="auto"/>
              </w:rPr>
            </w:pPr>
            <w:r>
              <w:rPr>
                <w:rFonts w:ascii="Arial" w:cs="Arial" w:eastAsia="Arial" w:hAnsi="Arial"/>
                <w:sz w:val="11"/>
                <w:szCs w:val="11"/>
                <w:color w:val="auto"/>
              </w:rPr>
              <w:t>partner.</w:t>
            </w:r>
          </w:p>
        </w:tc>
        <w:tc>
          <w:tcPr>
            <w:tcW w:w="6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 w:right="1440" w:bottom="1440" w:gutter="0" w:footer="0" w:header="0"/>
          <w:type w:val="continuous"/>
        </w:sectPr>
      </w:pPr>
    </w:p>
    <w:bookmarkStart w:id="33" w:name="page34"/>
    <w:bookmarkEnd w:id="33"/>
    <w:p>
      <w:pPr>
        <w:ind w:left="220"/>
        <w:spacing w:after="0"/>
        <w:rPr>
          <w:sz w:val="20"/>
          <w:szCs w:val="20"/>
          <w:color w:val="auto"/>
        </w:rPr>
      </w:pPr>
      <w:r>
        <w:rPr>
          <w:rFonts w:ascii="Arial" w:cs="Arial" w:eastAsia="Arial" w:hAnsi="Arial"/>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left="360" w:right="239" w:hanging="349"/>
        <w:spacing w:after="0" w:line="281" w:lineRule="auto"/>
        <w:rPr>
          <w:sz w:val="20"/>
          <w:szCs w:val="20"/>
          <w:color w:val="auto"/>
        </w:rPr>
      </w:pPr>
      <w:r>
        <w:rPr>
          <w:rFonts w:ascii="Arial" w:cs="Arial" w:eastAsia="Arial" w:hAnsi="Arial"/>
          <w:sz w:val="14"/>
          <w:szCs w:val="14"/>
          <w:color w:val="auto"/>
        </w:rPr>
        <w:t>1.5   A certificate of good standing dated 12 May 2026 issued by the Registrar of Companies in the Cayman Islands (the “</w:t>
      </w:r>
      <w:r>
        <w:rPr>
          <w:rFonts w:ascii="Arial" w:cs="Arial" w:eastAsia="Arial" w:hAnsi="Arial"/>
          <w:sz w:val="14"/>
          <w:szCs w:val="14"/>
          <w:b w:val="1"/>
          <w:bCs w:val="1"/>
          <w:color w:val="auto"/>
        </w:rPr>
        <w:t>Certificate of Good Standing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-535940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-462915</wp:posOffset>
            </wp:positionV>
            <wp:extent cx="1159510" cy="99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59510" cy="99695"/>
                    </a:xfrm>
                    <a:prstGeom prst="rect">
                      <a:avLst/>
                    </a:prstGeom>
                    <a:noFill/>
                  </pic:spPr>
                </pic:pic>
              </a:graphicData>
            </a:graphic>
          </wp:anchor>
        </w:drawing>
      </w:r>
    </w:p>
    <w:p>
      <w:pPr>
        <w:spacing w:after="0" w:line="12" w:lineRule="exact"/>
        <w:rPr>
          <w:sz w:val="20"/>
          <w:szCs w:val="20"/>
          <w:color w:val="auto"/>
        </w:rPr>
      </w:pPr>
    </w:p>
    <w:p>
      <w:pPr>
        <w:jc w:val="both"/>
        <w:ind w:left="360" w:right="239" w:hanging="349"/>
        <w:spacing w:after="0" w:line="269" w:lineRule="auto"/>
        <w:rPr>
          <w:sz w:val="20"/>
          <w:szCs w:val="20"/>
          <w:color w:val="auto"/>
        </w:rPr>
      </w:pPr>
      <w:r>
        <w:rPr>
          <w:rFonts w:ascii="Arial" w:cs="Arial" w:eastAsia="Arial" w:hAnsi="Arial"/>
          <w:sz w:val="14"/>
          <w:szCs w:val="14"/>
          <w:color w:val="auto"/>
        </w:rPr>
        <w:t>1.6   The securities purchase agreement dated 29 March 2026 between the Company and the purchasers named therein.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1.7    The Registration Statement.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ASSUMPTIONS</w:t>
      </w:r>
    </w:p>
    <w:p>
      <w:pPr>
        <w:spacing w:after="0" w:line="91" w:lineRule="exact"/>
        <w:rPr>
          <w:sz w:val="20"/>
          <w:szCs w:val="20"/>
          <w:color w:val="auto"/>
        </w:rPr>
      </w:pPr>
    </w:p>
    <w:p>
      <w:pPr>
        <w:jc w:val="both"/>
        <w:ind w:right="239"/>
        <w:spacing w:after="0" w:line="243" w:lineRule="auto"/>
        <w:rPr>
          <w:sz w:val="20"/>
          <w:szCs w:val="20"/>
          <w:color w:val="auto"/>
        </w:rPr>
      </w:pPr>
      <w:r>
        <w:rPr>
          <w:rFonts w:ascii="Arial" w:cs="Arial" w:eastAsia="Arial" w:hAnsi="Arial"/>
          <w:sz w:val="14"/>
          <w:szCs w:val="14"/>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of the Director’s Certificate and the Certificate of Good Standing. We have also relied upon the following assumptions, which we have not independently verified:</w:t>
      </w:r>
    </w:p>
    <w:p>
      <w:pPr>
        <w:spacing w:after="0" w:line="66" w:lineRule="exact"/>
        <w:rPr>
          <w:sz w:val="20"/>
          <w:szCs w:val="20"/>
          <w:color w:val="auto"/>
        </w:rPr>
      </w:pPr>
    </w:p>
    <w:p>
      <w:pPr>
        <w:jc w:val="both"/>
        <w:ind w:left="360" w:right="239" w:hanging="349"/>
        <w:spacing w:after="0" w:line="269" w:lineRule="auto"/>
        <w:rPr>
          <w:sz w:val="20"/>
          <w:szCs w:val="20"/>
          <w:color w:val="auto"/>
        </w:rPr>
      </w:pPr>
      <w:r>
        <w:rPr>
          <w:rFonts w:ascii="Arial" w:cs="Arial" w:eastAsia="Arial" w:hAnsi="Arial"/>
          <w:sz w:val="14"/>
          <w:szCs w:val="14"/>
          <w:color w:val="auto"/>
        </w:rPr>
        <w:t>2.1   The Registration Statement has been authorised and duly filed with the Commission in accordance with all relevant laws (other than, with respect to the Company, the laws of the Cayman Islands).</w:t>
      </w:r>
    </w:p>
    <w:p>
      <w:pPr>
        <w:spacing w:after="0" w:line="48" w:lineRule="exact"/>
        <w:rPr>
          <w:sz w:val="20"/>
          <w:szCs w:val="20"/>
          <w:color w:val="auto"/>
        </w:rPr>
      </w:pPr>
    </w:p>
    <w:p>
      <w:pPr>
        <w:jc w:val="both"/>
        <w:ind w:left="360" w:right="239" w:hanging="349"/>
        <w:spacing w:after="0" w:line="269" w:lineRule="auto"/>
        <w:rPr>
          <w:sz w:val="20"/>
          <w:szCs w:val="20"/>
          <w:color w:val="auto"/>
        </w:rPr>
      </w:pPr>
      <w:r>
        <w:rPr>
          <w:rFonts w:ascii="Arial" w:cs="Arial" w:eastAsia="Arial" w:hAnsi="Arial"/>
          <w:sz w:val="14"/>
          <w:szCs w:val="14"/>
          <w:color w:val="auto"/>
        </w:rPr>
        <w:t>2.2   Copies of documents, conformed copies or drafts of documents provided to us are true and complete copies of, or in the final forms of, the originals.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2.3    All signatures, initials and seals are genuine.</w:t>
      </w:r>
    </w:p>
    <w:p>
      <w:pPr>
        <w:spacing w:after="0" w:line="91" w:lineRule="exact"/>
        <w:rPr>
          <w:sz w:val="20"/>
          <w:szCs w:val="20"/>
          <w:color w:val="auto"/>
        </w:rPr>
      </w:pPr>
    </w:p>
    <w:p>
      <w:pPr>
        <w:jc w:val="both"/>
        <w:ind w:left="360" w:right="239" w:hanging="349"/>
        <w:spacing w:after="0" w:line="246" w:lineRule="auto"/>
        <w:rPr>
          <w:sz w:val="20"/>
          <w:szCs w:val="20"/>
          <w:color w:val="auto"/>
        </w:rPr>
      </w:pPr>
      <w:r>
        <w:rPr>
          <w:rFonts w:ascii="Arial" w:cs="Arial" w:eastAsia="Arial" w:hAnsi="Arial"/>
          <w:sz w:val="14"/>
          <w:szCs w:val="14"/>
          <w:color w:val="auto"/>
        </w:rPr>
        <w:t>2.4   The capacity, power, authority and legal right of all parties under all relevant laws and regulations (other than, with respect to the Company, the laws and regulations of the Cayman Islands) to enter into and perform their respective obligations in connection with the resale of the Ordinary Shares contemplated by the Registration Statement.</w:t>
      </w:r>
    </w:p>
    <w:p>
      <w:pPr>
        <w:spacing w:after="0" w:line="64" w:lineRule="exact"/>
        <w:rPr>
          <w:sz w:val="20"/>
          <w:szCs w:val="20"/>
          <w:color w:val="auto"/>
        </w:rPr>
      </w:pPr>
    </w:p>
    <w:p>
      <w:pPr>
        <w:jc w:val="both"/>
        <w:ind w:left="360" w:right="239" w:hanging="349"/>
        <w:spacing w:after="0" w:line="252" w:lineRule="auto"/>
        <w:rPr>
          <w:sz w:val="20"/>
          <w:szCs w:val="20"/>
          <w:color w:val="auto"/>
        </w:rPr>
      </w:pPr>
      <w:r>
        <w:rPr>
          <w:rFonts w:ascii="Arial" w:cs="Arial" w:eastAsia="Arial" w:hAnsi="Arial"/>
          <w:sz w:val="14"/>
          <w:szCs w:val="14"/>
          <w:color w:val="auto"/>
        </w:rPr>
        <w:t>2.5   There is no contractual or other prohibition or restriction (other than as arising under Cayman Islands law) binding on the Company prohibiting or restricting it from filing the Registration Statement with the Commission or facilitating the resale of the Ordinary Shares.</w:t>
      </w:r>
    </w:p>
    <w:p>
      <w:pPr>
        <w:spacing w:after="0" w:line="59" w:lineRule="exact"/>
        <w:rPr>
          <w:sz w:val="20"/>
          <w:szCs w:val="20"/>
          <w:color w:val="auto"/>
        </w:rPr>
      </w:pPr>
    </w:p>
    <w:p>
      <w:pPr>
        <w:jc w:val="both"/>
        <w:ind w:left="280" w:right="239" w:hanging="279"/>
        <w:spacing w:after="0" w:line="252" w:lineRule="auto"/>
        <w:rPr>
          <w:sz w:val="20"/>
          <w:szCs w:val="20"/>
          <w:color w:val="auto"/>
        </w:rPr>
      </w:pPr>
      <w:r>
        <w:rPr>
          <w:rFonts w:ascii="Arial" w:cs="Arial" w:eastAsia="Arial" w:hAnsi="Arial"/>
          <w:sz w:val="14"/>
          <w:szCs w:val="14"/>
          <w:color w:val="auto"/>
        </w:rPr>
        <w:t>2.6   No monies paid to or for the account of any party in connection with the resale of the Ordinary Shares represent or will represent proceeds of criminal conduct or criminal property or terrorist property (as defined in the Proceeds of Crime Act (As Revised) and the Terrorism Act (As Revised), respectively).</w:t>
      </w:r>
    </w:p>
    <w:p>
      <w:pPr>
        <w:spacing w:after="0" w:line="59" w:lineRule="exact"/>
        <w:rPr>
          <w:sz w:val="20"/>
          <w:szCs w:val="20"/>
          <w:color w:val="auto"/>
        </w:rPr>
      </w:pPr>
    </w:p>
    <w:p>
      <w:pPr>
        <w:jc w:val="both"/>
        <w:ind w:left="280" w:right="239" w:hanging="279"/>
        <w:spacing w:after="0" w:line="252" w:lineRule="auto"/>
        <w:rPr>
          <w:sz w:val="20"/>
          <w:szCs w:val="20"/>
          <w:color w:val="auto"/>
        </w:rPr>
      </w:pPr>
      <w:r>
        <w:rPr>
          <w:rFonts w:ascii="Arial" w:cs="Arial" w:eastAsia="Arial" w:hAnsi="Arial"/>
          <w:sz w:val="14"/>
          <w:szCs w:val="14"/>
          <w:color w:val="auto"/>
        </w:rPr>
        <w:t>2.7   There is nothing contained in the minute book or corporate records of the Company (which, other than the records set out in paragraphs 1.1 to 1.2 of the opinion letter, we have not inspected) which would or might affect the opinions set out below.</w:t>
      </w:r>
    </w:p>
    <w:p>
      <w:pPr>
        <w:spacing w:after="0" w:line="9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2</w:t>
      </w:r>
    </w:p>
    <w:p>
      <w:pPr>
        <w:spacing w:after="0" w:line="196" w:lineRule="exact"/>
        <w:rPr>
          <w:sz w:val="20"/>
          <w:szCs w:val="20"/>
          <w:color w:val="auto"/>
        </w:rPr>
      </w:pPr>
    </w:p>
    <w:p>
      <w:pPr>
        <w:spacing w:after="0"/>
        <w:tabs>
          <w:tab w:leader="none" w:pos="560" w:val="left"/>
          <w:tab w:leader="none" w:pos="1700" w:val="left"/>
          <w:tab w:leader="none" w:pos="2620" w:val="left"/>
          <w:tab w:leader="none" w:pos="3240" w:val="left"/>
          <w:tab w:leader="none" w:pos="3920" w:val="left"/>
          <w:tab w:leader="none" w:pos="4600" w:val="left"/>
          <w:tab w:leader="none" w:pos="5040" w:val="left"/>
          <w:tab w:leader="none" w:pos="5620" w:val="left"/>
          <w:tab w:leader="none" w:pos="6280" w:val="left"/>
        </w:tabs>
        <w:rPr>
          <w:sz w:val="20"/>
          <w:szCs w:val="20"/>
          <w:color w:val="auto"/>
        </w:rPr>
      </w:pPr>
      <w:r>
        <w:rPr>
          <w:rFonts w:ascii="Arial" w:cs="Arial" w:eastAsia="Arial" w:hAnsi="Arial"/>
          <w:sz w:val="11"/>
          <w:szCs w:val="11"/>
          <w:color w:val="auto"/>
        </w:rPr>
        <w:t>Bermuda</w:t>
        <w:tab/>
        <w:t>British Virgin Islands</w:t>
        <w:tab/>
        <w:t>Cayman Islands</w:t>
        <w:tab/>
        <w:t>Guernsey</w:t>
        <w:tab/>
        <w:t>Hong Kong</w:t>
        <w:tab/>
        <w:t>Isle of Man</w:t>
        <w:tab/>
        <w:t>Jersey</w:t>
        <w:tab/>
        <w:t>Mauritius</w:t>
        <w:tab/>
        <w:t>Seychelles</w:t>
        <w:tab/>
        <w:t>Shanghai</w:t>
      </w:r>
    </w:p>
    <w:p>
      <w:pPr>
        <w:sectPr>
          <w:pgSz w:w="11900" w:h="16838" w:orient="portrait"/>
          <w:cols w:equalWidth="0" w:num="2">
            <w:col w:w="1220" w:space="720"/>
            <w:col w:w="7079"/>
          </w:cols>
          <w:pgMar w:left="1440" w:top="513" w:right="1440" w:bottom="1440" w:gutter="0" w:footer="0" w:header="0"/>
        </w:sectPr>
      </w:pPr>
    </w:p>
    <w:bookmarkStart w:id="34" w:name="page35"/>
    <w:bookmarkEnd w:id="34"/>
    <w:p>
      <w:pPr>
        <w:ind w:left="220"/>
        <w:spacing w:after="0"/>
        <w:rPr>
          <w:sz w:val="20"/>
          <w:szCs w:val="20"/>
          <w:color w:val="auto"/>
        </w:rPr>
      </w:pPr>
      <w:r>
        <w:rPr>
          <w:rFonts w:ascii="Arial" w:cs="Arial" w:eastAsia="Arial" w:hAnsi="Arial"/>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left="280" w:right="239" w:hanging="279"/>
        <w:spacing w:after="0" w:line="269" w:lineRule="auto"/>
        <w:rPr>
          <w:sz w:val="20"/>
          <w:szCs w:val="20"/>
          <w:color w:val="auto"/>
        </w:rPr>
      </w:pPr>
      <w:r>
        <w:rPr>
          <w:rFonts w:ascii="Arial" w:cs="Arial" w:eastAsia="Arial" w:hAnsi="Arial"/>
          <w:sz w:val="14"/>
          <w:szCs w:val="14"/>
          <w:color w:val="auto"/>
        </w:rPr>
        <w:t>2.8   There is nothing under any law (other than the law of the Cayman Islands), which would or might affect the opinions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-525780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-452120</wp:posOffset>
            </wp:positionV>
            <wp:extent cx="1159510" cy="99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9510" cy="99695"/>
                    </a:xfrm>
                    <a:prstGeom prst="rect">
                      <a:avLst/>
                    </a:prstGeom>
                    <a:noFill/>
                  </pic:spPr>
                </pic:pic>
              </a:graphicData>
            </a:graphic>
          </wp:anchor>
        </w:drawing>
      </w:r>
    </w:p>
    <w:p>
      <w:pPr>
        <w:spacing w:after="0" w:line="28" w:lineRule="exact"/>
        <w:rPr>
          <w:sz w:val="20"/>
          <w:szCs w:val="20"/>
          <w:color w:val="auto"/>
        </w:rPr>
      </w:pPr>
    </w:p>
    <w:p>
      <w:pPr>
        <w:jc w:val="both"/>
        <w:ind w:left="280" w:right="239" w:hanging="279"/>
        <w:spacing w:after="0" w:line="269" w:lineRule="auto"/>
        <w:rPr>
          <w:sz w:val="20"/>
          <w:szCs w:val="20"/>
          <w:color w:val="auto"/>
        </w:rPr>
      </w:pPr>
      <w:r>
        <w:rPr>
          <w:rFonts w:ascii="Arial" w:cs="Arial" w:eastAsia="Arial" w:hAnsi="Arial"/>
          <w:sz w:val="14"/>
          <w:szCs w:val="14"/>
          <w:color w:val="auto"/>
        </w:rPr>
        <w:t>2.9   No invitation has been or will be made by or on behalf of the Company to the public in the Cayman Islands to subscribe for or purchase any of the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2.10  The Ordinary Shares have been validly issued at not less than their par value and remain fully paid.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OPINION</w:t>
      </w:r>
    </w:p>
    <w:p>
      <w:pPr>
        <w:spacing w:after="0" w:line="91" w:lineRule="exact"/>
        <w:rPr>
          <w:sz w:val="20"/>
          <w:szCs w:val="20"/>
          <w:color w:val="auto"/>
        </w:rPr>
      </w:pPr>
    </w:p>
    <w:p>
      <w:pPr>
        <w:jc w:val="both"/>
        <w:ind w:right="239"/>
        <w:spacing w:after="0" w:line="269" w:lineRule="auto"/>
        <w:rPr>
          <w:sz w:val="20"/>
          <w:szCs w:val="20"/>
          <w:color w:val="auto"/>
        </w:rPr>
      </w:pPr>
      <w:r>
        <w:rPr>
          <w:rFonts w:ascii="Arial" w:cs="Arial" w:eastAsia="Arial" w:hAnsi="Arial"/>
          <w:sz w:val="14"/>
          <w:szCs w:val="14"/>
          <w:color w:val="auto"/>
        </w:rPr>
        <w:t>Based upon, and subject to, the foregoing assumptions and the qualifications set out below, and having regard to such legal considerations as we deem relevant, we are of the opinion that:</w:t>
      </w:r>
    </w:p>
    <w:p>
      <w:pPr>
        <w:spacing w:after="0" w:line="48" w:lineRule="exact"/>
        <w:rPr>
          <w:sz w:val="20"/>
          <w:szCs w:val="20"/>
          <w:color w:val="auto"/>
        </w:rPr>
      </w:pPr>
    </w:p>
    <w:p>
      <w:pPr>
        <w:jc w:val="both"/>
        <w:ind w:left="280" w:right="239" w:hanging="279"/>
        <w:spacing w:after="0" w:line="269" w:lineRule="auto"/>
        <w:rPr>
          <w:sz w:val="20"/>
          <w:szCs w:val="20"/>
          <w:color w:val="auto"/>
        </w:rPr>
      </w:pPr>
      <w:r>
        <w:rPr>
          <w:rFonts w:ascii="Arial" w:cs="Arial" w:eastAsia="Arial" w:hAnsi="Arial"/>
          <w:sz w:val="14"/>
          <w:szCs w:val="14"/>
          <w:color w:val="auto"/>
        </w:rPr>
        <w:t>3.1   The Company has been duly incorporated as an exempted company with limited liability and is validly existing and in good standing with the Registrar of Companies under the laws of the Cayman Islands.</w:t>
      </w:r>
    </w:p>
    <w:p>
      <w:pPr>
        <w:spacing w:after="0" w:line="48" w:lineRule="exact"/>
        <w:rPr>
          <w:sz w:val="20"/>
          <w:szCs w:val="20"/>
          <w:color w:val="auto"/>
        </w:rPr>
      </w:pPr>
    </w:p>
    <w:p>
      <w:pPr>
        <w:jc w:val="both"/>
        <w:ind w:left="280" w:right="239" w:hanging="279"/>
        <w:spacing w:after="0" w:line="246" w:lineRule="auto"/>
        <w:rPr>
          <w:sz w:val="20"/>
          <w:szCs w:val="20"/>
          <w:color w:val="auto"/>
        </w:rPr>
      </w:pPr>
      <w:r>
        <w:rPr>
          <w:rFonts w:ascii="Arial" w:cs="Arial" w:eastAsia="Arial" w:hAnsi="Arial"/>
          <w:sz w:val="14"/>
          <w:szCs w:val="14"/>
          <w:color w:val="auto"/>
        </w:rPr>
        <w:t>3.2   The authorised share capital of the Company is US$76,560 divided into (i) 400,000,000 ordinary shares of a par value of US$0.000174 each, and (ii) 40,000,000 preferred shares of a par value of US$0.000174 each, of such class or classes (however designated) as the board of directors may determine in accordance with the Memorandum and Articles.</w:t>
      </w:r>
    </w:p>
    <w:p>
      <w:pPr>
        <w:spacing w:after="0" w:line="64" w:lineRule="exact"/>
        <w:rPr>
          <w:sz w:val="20"/>
          <w:szCs w:val="20"/>
          <w:color w:val="auto"/>
        </w:rPr>
      </w:pPr>
    </w:p>
    <w:p>
      <w:pPr>
        <w:jc w:val="both"/>
        <w:ind w:left="280" w:right="239" w:hanging="279"/>
        <w:spacing w:after="0" w:line="252" w:lineRule="auto"/>
        <w:rPr>
          <w:sz w:val="20"/>
          <w:szCs w:val="20"/>
          <w:color w:val="auto"/>
        </w:rPr>
      </w:pPr>
      <w:r>
        <w:rPr>
          <w:rFonts w:ascii="Arial" w:cs="Arial" w:eastAsia="Arial" w:hAnsi="Arial"/>
          <w:sz w:val="14"/>
          <w:szCs w:val="14"/>
          <w:color w:val="auto"/>
        </w:rPr>
        <w:t>3.3   The Ordinary Shares being offered for resale pursuant to the Registration Statement are validly issued, fully paid and non-assessable. As a matter of Cayman Islands law, a share is only issued when it has been entered in the register of members (shareholders).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QUALIFICATIONS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opinions expressed above are subject to the following qualifications:</w:t>
      </w:r>
    </w:p>
    <w:p>
      <w:pPr>
        <w:spacing w:after="0" w:line="91" w:lineRule="exact"/>
        <w:rPr>
          <w:sz w:val="20"/>
          <w:szCs w:val="20"/>
          <w:color w:val="auto"/>
        </w:rPr>
      </w:pPr>
    </w:p>
    <w:p>
      <w:pPr>
        <w:jc w:val="both"/>
        <w:ind w:left="280" w:right="239" w:hanging="279"/>
        <w:spacing w:after="0" w:line="269" w:lineRule="auto"/>
        <w:rPr>
          <w:sz w:val="20"/>
          <w:szCs w:val="20"/>
          <w:color w:val="auto"/>
        </w:rPr>
      </w:pPr>
      <w:r>
        <w:rPr>
          <w:rFonts w:ascii="Arial" w:cs="Arial" w:eastAsia="Arial" w:hAnsi="Arial"/>
          <w:sz w:val="14"/>
          <w:szCs w:val="14"/>
          <w:color w:val="auto"/>
        </w:rPr>
        <w:t>4.1   To maintain the Company in good standing under the laws of the Cayman Islands, annual filing fees must be paid and returns made to the Registrar of Companies within the time frame prescribed by law.</w:t>
      </w:r>
    </w:p>
    <w:p>
      <w:pPr>
        <w:spacing w:after="0" w:line="48" w:lineRule="exact"/>
        <w:rPr>
          <w:sz w:val="20"/>
          <w:szCs w:val="20"/>
          <w:color w:val="auto"/>
        </w:rPr>
      </w:pPr>
    </w:p>
    <w:p>
      <w:pPr>
        <w:jc w:val="both"/>
        <w:ind w:left="280" w:right="239" w:hanging="279"/>
        <w:spacing w:after="0" w:line="269" w:lineRule="auto"/>
        <w:rPr>
          <w:sz w:val="20"/>
          <w:szCs w:val="20"/>
          <w:color w:val="auto"/>
        </w:rPr>
      </w:pPr>
      <w:r>
        <w:rPr>
          <w:rFonts w:ascii="Arial" w:cs="Arial" w:eastAsia="Arial" w:hAnsi="Arial"/>
          <w:sz w:val="14"/>
          <w:szCs w:val="14"/>
          <w:color w:val="auto"/>
        </w:rPr>
        <w:t>4.2   The obligations assumed by the Company under the Registration Statement will not necessarily be enforceable in all circumstances in accordance with their terms. In particular:</w:t>
      </w:r>
    </w:p>
    <w:p>
      <w:pPr>
        <w:spacing w:after="0" w:line="48" w:lineRule="exact"/>
        <w:rPr>
          <w:sz w:val="20"/>
          <w:szCs w:val="20"/>
          <w:color w:val="auto"/>
        </w:rPr>
      </w:pPr>
    </w:p>
    <w:p>
      <w:pPr>
        <w:jc w:val="both"/>
        <w:ind w:left="560" w:right="239" w:hanging="279"/>
        <w:spacing w:after="0" w:line="252" w:lineRule="auto"/>
        <w:rPr>
          <w:sz w:val="20"/>
          <w:szCs w:val="20"/>
          <w:color w:val="auto"/>
        </w:rPr>
      </w:pPr>
      <w:r>
        <w:rPr>
          <w:rFonts w:ascii="Arial" w:cs="Arial" w:eastAsia="Arial" w:hAnsi="Arial"/>
          <w:sz w:val="14"/>
          <w:szCs w:val="14"/>
          <w:color w:val="auto"/>
        </w:rPr>
        <w:t>(a)   enforcement may be limited by bankruptcy, insolvency, liquidation, reorganisation, readjustment of debts or moratorium or other laws of general application relating to protecting or affecting the rights of creditors;</w:t>
      </w:r>
    </w:p>
    <w:p>
      <w:pPr>
        <w:spacing w:after="0" w:line="9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3</w:t>
      </w:r>
    </w:p>
    <w:p>
      <w:pPr>
        <w:spacing w:after="0" w:line="196" w:lineRule="exact"/>
        <w:rPr>
          <w:sz w:val="20"/>
          <w:szCs w:val="20"/>
          <w:color w:val="auto"/>
        </w:rPr>
      </w:pPr>
    </w:p>
    <w:p>
      <w:pPr>
        <w:spacing w:after="0"/>
        <w:tabs>
          <w:tab w:leader="none" w:pos="560" w:val="left"/>
          <w:tab w:leader="none" w:pos="1700" w:val="left"/>
          <w:tab w:leader="none" w:pos="2620" w:val="left"/>
          <w:tab w:leader="none" w:pos="3240" w:val="left"/>
          <w:tab w:leader="none" w:pos="3920" w:val="left"/>
          <w:tab w:leader="none" w:pos="4600" w:val="left"/>
          <w:tab w:leader="none" w:pos="5040" w:val="left"/>
          <w:tab w:leader="none" w:pos="5620" w:val="left"/>
          <w:tab w:leader="none" w:pos="6280" w:val="left"/>
        </w:tabs>
        <w:rPr>
          <w:sz w:val="20"/>
          <w:szCs w:val="20"/>
          <w:color w:val="auto"/>
        </w:rPr>
      </w:pPr>
      <w:r>
        <w:rPr>
          <w:rFonts w:ascii="Arial" w:cs="Arial" w:eastAsia="Arial" w:hAnsi="Arial"/>
          <w:sz w:val="11"/>
          <w:szCs w:val="11"/>
          <w:color w:val="auto"/>
        </w:rPr>
        <w:t>Bermuda</w:t>
        <w:tab/>
        <w:t>British Virgin Islands</w:t>
        <w:tab/>
        <w:t>Cayman Islands</w:t>
        <w:tab/>
        <w:t>Guernsey</w:t>
        <w:tab/>
        <w:t>Hong Kong</w:t>
        <w:tab/>
        <w:t>Isle of Man</w:t>
        <w:tab/>
        <w:t>Jersey</w:t>
        <w:tab/>
        <w:t>Mauritius</w:t>
        <w:tab/>
        <w:t>Seychelles</w:t>
        <w:tab/>
        <w:t>Shanghai</w:t>
      </w:r>
    </w:p>
    <w:p>
      <w:pPr>
        <w:sectPr>
          <w:pgSz w:w="11900" w:h="16838" w:orient="portrait"/>
          <w:cols w:equalWidth="0" w:num="2">
            <w:col w:w="1220" w:space="720"/>
            <w:col w:w="7079"/>
          </w:cols>
          <w:pgMar w:left="1440" w:top="513" w:right="1440" w:bottom="1440" w:gutter="0" w:footer="0" w:header="0"/>
        </w:sectPr>
      </w:pPr>
    </w:p>
    <w:bookmarkStart w:id="35" w:name="page36"/>
    <w:bookmarkEnd w:id="35"/>
    <w:p>
      <w:pPr>
        <w:ind w:left="220"/>
        <w:spacing w:after="0"/>
        <w:rPr>
          <w:sz w:val="20"/>
          <w:szCs w:val="20"/>
          <w:color w:val="auto"/>
        </w:rPr>
      </w:pPr>
      <w:r>
        <w:rPr>
          <w:rFonts w:ascii="Arial" w:cs="Arial" w:eastAsia="Arial" w:hAnsi="Arial"/>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left="560" w:right="239" w:hanging="279"/>
        <w:spacing w:after="0" w:line="252" w:lineRule="auto"/>
        <w:rPr>
          <w:sz w:val="20"/>
          <w:szCs w:val="20"/>
          <w:color w:val="auto"/>
        </w:rPr>
      </w:pPr>
      <w:r>
        <w:rPr>
          <w:rFonts w:ascii="Arial" w:cs="Arial" w:eastAsia="Arial" w:hAnsi="Arial"/>
          <w:sz w:val="14"/>
          <w:szCs w:val="14"/>
          <w:color w:val="auto"/>
        </w:rPr>
        <w:t>(b)   enforcement may be limited by general principles of equity. For example, equitable remedies such as specific performance may not be available, inter alia, where damages are considered to be an adequate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-618490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-545465</wp:posOffset>
            </wp:positionV>
            <wp:extent cx="1159510" cy="99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59510" cy="99695"/>
                    </a:xfrm>
                    <a:prstGeom prst="rect">
                      <a:avLst/>
                    </a:prstGeom>
                    <a:noFill/>
                  </pic:spPr>
                </pic:pic>
              </a:graphicData>
            </a:graphic>
          </wp:anchor>
        </w:drawing>
      </w:r>
    </w:p>
    <w:p>
      <w:pPr>
        <w:spacing w:after="0" w:line="39" w:lineRule="exact"/>
        <w:rPr>
          <w:sz w:val="20"/>
          <w:szCs w:val="20"/>
          <w:color w:val="auto"/>
        </w:rPr>
      </w:pPr>
    </w:p>
    <w:p>
      <w:pPr>
        <w:jc w:val="both"/>
        <w:ind w:left="560" w:right="239" w:hanging="279"/>
        <w:spacing w:after="0" w:line="252" w:lineRule="auto"/>
        <w:rPr>
          <w:sz w:val="20"/>
          <w:szCs w:val="20"/>
          <w:color w:val="auto"/>
        </w:rPr>
      </w:pPr>
      <w:r>
        <w:rPr>
          <w:rFonts w:ascii="Arial" w:cs="Arial" w:eastAsia="Arial" w:hAnsi="Arial"/>
          <w:sz w:val="14"/>
          <w:szCs w:val="14"/>
          <w:color w:val="auto"/>
        </w:rPr>
        <w:t>(c)    where obligations are to be performed in a jurisdiction outside the Cayman Islands, they may not be enforceable in the Cayman Islands to the extent that performance would be illegal under the laws of that jurisdiction; and</w:t>
      </w:r>
    </w:p>
    <w:p>
      <w:pPr>
        <w:spacing w:after="0" w:line="59" w:lineRule="exact"/>
        <w:rPr>
          <w:sz w:val="20"/>
          <w:szCs w:val="20"/>
          <w:color w:val="auto"/>
        </w:rPr>
      </w:pPr>
    </w:p>
    <w:p>
      <w:pPr>
        <w:jc w:val="both"/>
        <w:ind w:left="560" w:right="239" w:hanging="279"/>
        <w:spacing w:after="0" w:line="269" w:lineRule="auto"/>
        <w:rPr>
          <w:sz w:val="20"/>
          <w:szCs w:val="20"/>
          <w:color w:val="auto"/>
        </w:rPr>
      </w:pPr>
      <w:r>
        <w:rPr>
          <w:rFonts w:ascii="Arial" w:cs="Arial" w:eastAsia="Arial" w:hAnsi="Arial"/>
          <w:sz w:val="14"/>
          <w:szCs w:val="14"/>
          <w:color w:val="auto"/>
        </w:rPr>
        <w:t>(d)   some claims may become barred under relevant statutes of limitation or may be or become subject to defences of set off, counterclaim, estoppel and similar defences.</w:t>
      </w:r>
    </w:p>
    <w:p>
      <w:pPr>
        <w:spacing w:after="0" w:line="48" w:lineRule="exact"/>
        <w:rPr>
          <w:sz w:val="20"/>
          <w:szCs w:val="20"/>
          <w:color w:val="auto"/>
        </w:rPr>
      </w:pPr>
    </w:p>
    <w:p>
      <w:pPr>
        <w:jc w:val="both"/>
        <w:ind w:left="280" w:right="239" w:hanging="279"/>
        <w:spacing w:after="0" w:line="252" w:lineRule="auto"/>
        <w:rPr>
          <w:sz w:val="20"/>
          <w:szCs w:val="20"/>
          <w:color w:val="auto"/>
        </w:rPr>
      </w:pPr>
      <w:r>
        <w:rPr>
          <w:rFonts w:ascii="Arial" w:cs="Arial" w:eastAsia="Arial" w:hAnsi="Arial"/>
          <w:sz w:val="14"/>
          <w:szCs w:val="14"/>
          <w:color w:val="auto"/>
        </w:rPr>
        <w:t>4.3   We express no opinion as to the meaning, validity or effect of any references to foreign (i.e. non-Cayman Islands) statutes, rules, regulations, codes, judicial authority or any other promulgations and any references to them in the Registration Statement.</w:t>
      </w:r>
    </w:p>
    <w:p>
      <w:pPr>
        <w:spacing w:after="0" w:line="59" w:lineRule="exact"/>
        <w:rPr>
          <w:sz w:val="20"/>
          <w:szCs w:val="20"/>
          <w:color w:val="auto"/>
        </w:rPr>
      </w:pPr>
    </w:p>
    <w:p>
      <w:pPr>
        <w:jc w:val="both"/>
        <w:ind w:left="280" w:right="239" w:hanging="279"/>
        <w:spacing w:after="0" w:line="246" w:lineRule="auto"/>
        <w:rPr>
          <w:sz w:val="20"/>
          <w:szCs w:val="20"/>
          <w:color w:val="auto"/>
        </w:rPr>
      </w:pPr>
      <w:r>
        <w:rPr>
          <w:rFonts w:ascii="Arial" w:cs="Arial" w:eastAsia="Arial" w:hAnsi="Arial"/>
          <w:sz w:val="14"/>
          <w:szCs w:val="14"/>
          <w:color w:val="auto"/>
        </w:rPr>
        <w:t>4.4   We reserve our opinion as to the extent to which the courts of the Cayman Islands would, in the event of any relevant illegality or invalidity, sever the relevant provisions of the Registration Statement and enforce the remainder of the Registration Statement, or the transaction of which such provisions form a part, notwithstanding any express provisions in this regard.</w:t>
      </w:r>
    </w:p>
    <w:p>
      <w:pPr>
        <w:spacing w:after="0" w:line="64" w:lineRule="exact"/>
        <w:rPr>
          <w:sz w:val="20"/>
          <w:szCs w:val="20"/>
          <w:color w:val="auto"/>
        </w:rPr>
      </w:pPr>
    </w:p>
    <w:p>
      <w:pPr>
        <w:jc w:val="both"/>
        <w:ind w:left="280" w:right="239" w:hanging="279"/>
        <w:spacing w:after="0" w:line="246" w:lineRule="auto"/>
        <w:rPr>
          <w:sz w:val="20"/>
          <w:szCs w:val="20"/>
          <w:color w:val="auto"/>
        </w:rPr>
      </w:pPr>
      <w:r>
        <w:rPr>
          <w:rFonts w:ascii="Arial" w:cs="Arial" w:eastAsia="Arial" w:hAnsi="Arial"/>
          <w:sz w:val="14"/>
          <w:szCs w:val="14"/>
          <w:color w:val="auto"/>
        </w:rPr>
        <w:t>4.5   Under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64" w:lineRule="exact"/>
        <w:rPr>
          <w:sz w:val="20"/>
          <w:szCs w:val="20"/>
          <w:color w:val="auto"/>
        </w:rPr>
      </w:pPr>
    </w:p>
    <w:p>
      <w:pPr>
        <w:jc w:val="both"/>
        <w:ind w:left="280" w:right="239" w:hanging="279"/>
        <w:spacing w:after="0"/>
        <w:rPr>
          <w:sz w:val="20"/>
          <w:szCs w:val="20"/>
          <w:color w:val="auto"/>
        </w:rPr>
      </w:pPr>
      <w:r>
        <w:rPr>
          <w:rFonts w:ascii="Arial" w:cs="Arial" w:eastAsia="Arial" w:hAnsi="Arial"/>
          <w:sz w:val="14"/>
          <w:szCs w:val="14"/>
          <w:color w:val="auto"/>
        </w:rPr>
        <w:t>4.6   In this opinion the phrase “non-assessable” means, with respect to the issuance of shares in the Company,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4.7   The obligations of the Company may be subject to restrictions pursuant to:</w:t>
      </w:r>
    </w:p>
    <w:p>
      <w:pPr>
        <w:spacing w:after="0" w:line="91" w:lineRule="exact"/>
        <w:rPr>
          <w:sz w:val="20"/>
          <w:szCs w:val="20"/>
          <w:color w:val="auto"/>
        </w:rPr>
      </w:pPr>
    </w:p>
    <w:p>
      <w:pPr>
        <w:ind w:left="560" w:right="239" w:hanging="279"/>
        <w:spacing w:after="0" w:line="269" w:lineRule="auto"/>
        <w:rPr>
          <w:sz w:val="20"/>
          <w:szCs w:val="20"/>
          <w:color w:val="auto"/>
        </w:rPr>
      </w:pPr>
      <w:r>
        <w:rPr>
          <w:rFonts w:ascii="Arial" w:cs="Arial" w:eastAsia="Arial" w:hAnsi="Arial"/>
          <w:sz w:val="14"/>
          <w:szCs w:val="14"/>
          <w:color w:val="auto"/>
        </w:rPr>
        <w:t>(a)   United Nations and United Kingdom sanctions extended to the Cayman Islands by Orders in Council; and</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   sanctions imposed by Cayman Islands authorities under Cayman Islands legislation.</w:t>
      </w:r>
    </w:p>
    <w:p>
      <w:pPr>
        <w:spacing w:after="0" w:line="122"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4</w:t>
      </w:r>
    </w:p>
    <w:p>
      <w:pPr>
        <w:spacing w:after="0" w:line="196" w:lineRule="exact"/>
        <w:rPr>
          <w:sz w:val="20"/>
          <w:szCs w:val="20"/>
          <w:color w:val="auto"/>
        </w:rPr>
      </w:pPr>
    </w:p>
    <w:p>
      <w:pPr>
        <w:spacing w:after="0"/>
        <w:tabs>
          <w:tab w:leader="none" w:pos="560" w:val="left"/>
          <w:tab w:leader="none" w:pos="1700" w:val="left"/>
          <w:tab w:leader="none" w:pos="2620" w:val="left"/>
          <w:tab w:leader="none" w:pos="3240" w:val="left"/>
          <w:tab w:leader="none" w:pos="3920" w:val="left"/>
          <w:tab w:leader="none" w:pos="4600" w:val="left"/>
          <w:tab w:leader="none" w:pos="5040" w:val="left"/>
          <w:tab w:leader="none" w:pos="5620" w:val="left"/>
          <w:tab w:leader="none" w:pos="6280" w:val="left"/>
        </w:tabs>
        <w:rPr>
          <w:sz w:val="20"/>
          <w:szCs w:val="20"/>
          <w:color w:val="auto"/>
        </w:rPr>
      </w:pPr>
      <w:r>
        <w:rPr>
          <w:rFonts w:ascii="Arial" w:cs="Arial" w:eastAsia="Arial" w:hAnsi="Arial"/>
          <w:sz w:val="11"/>
          <w:szCs w:val="11"/>
          <w:color w:val="auto"/>
        </w:rPr>
        <w:t>Bermuda</w:t>
        <w:tab/>
        <w:t>British Virgin Islands</w:t>
        <w:tab/>
        <w:t>Cayman Islands</w:t>
        <w:tab/>
        <w:t>Guernsey</w:t>
        <w:tab/>
        <w:t>Hong Kong</w:t>
        <w:tab/>
        <w:t>Isle of Man</w:t>
        <w:tab/>
        <w:t>Jersey</w:t>
        <w:tab/>
        <w:t>Mauritius</w:t>
        <w:tab/>
        <w:t>Seychelles</w:t>
        <w:tab/>
        <w:t>Shanghai</w:t>
      </w:r>
    </w:p>
    <w:p>
      <w:pPr>
        <w:sectPr>
          <w:pgSz w:w="11900" w:h="16838" w:orient="portrait"/>
          <w:cols w:equalWidth="0" w:num="2">
            <w:col w:w="1220" w:space="720"/>
            <w:col w:w="7079"/>
          </w:cols>
          <w:pgMar w:left="1440" w:top="513" w:right="1440" w:bottom="1440" w:gutter="0" w:footer="0" w:header="0"/>
        </w:sectPr>
      </w:pPr>
    </w:p>
    <w:bookmarkStart w:id="36" w:name="page37"/>
    <w:bookmarkEnd w:id="36"/>
    <w:p>
      <w:pPr>
        <w:ind w:left="2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jc w:val="both"/>
        <w:ind w:right="239"/>
        <w:spacing w:after="0" w:line="246" w:lineRule="auto"/>
        <w:rPr>
          <w:sz w:val="20"/>
          <w:szCs w:val="20"/>
          <w:color w:val="auto"/>
        </w:rPr>
      </w:pPr>
      <w:r>
        <w:rPr>
          <w:rFonts w:ascii="Arial" w:cs="Arial" w:eastAsia="Arial" w:hAnsi="Arial"/>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-655955</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-582295</wp:posOffset>
            </wp:positionV>
            <wp:extent cx="1159510" cy="996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159510" cy="9969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1220" w:space="720"/>
            <w:col w:w="7079"/>
          </w:cols>
          <w:pgMar w:left="1440" w:top="513" w:right="1440" w:bottom="1440" w:gutter="0" w:footer="0" w:header="0"/>
        </w:sectPr>
      </w:pPr>
    </w:p>
    <w:p>
      <w:pPr>
        <w:jc w:val="both"/>
        <w:ind w:left="1940" w:right="239"/>
        <w:spacing w:after="0" w:line="243" w:lineRule="auto"/>
        <w:rPr>
          <w:sz w:val="20"/>
          <w:szCs w:val="20"/>
          <w:color w:val="auto"/>
        </w:rPr>
      </w:pPr>
      <w:r>
        <w:rPr>
          <w:rFonts w:ascii="Arial" w:cs="Arial" w:eastAsia="Arial" w:hAnsi="Arial"/>
          <w:sz w:val="14"/>
          <w:szCs w:val="14"/>
          <w:color w:val="auto"/>
        </w:rPr>
        <w:t>We hereby consent to the filing of this opinion as an exhibit to the Registration Statement and to the reference to our name under the heading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61" w:lineRule="exact"/>
        <w:rPr>
          <w:sz w:val="20"/>
          <w:szCs w:val="20"/>
          <w:color w:val="auto"/>
        </w:rPr>
      </w:pPr>
    </w:p>
    <w:p>
      <w:pPr>
        <w:jc w:val="both"/>
        <w:ind w:left="1940" w:right="239"/>
        <w:spacing w:after="0" w:line="246" w:lineRule="auto"/>
        <w:rPr>
          <w:sz w:val="20"/>
          <w:szCs w:val="20"/>
          <w:color w:val="auto"/>
        </w:rPr>
      </w:pPr>
      <w:r>
        <w:rPr>
          <w:rFonts w:ascii="Arial" w:cs="Arial" w:eastAsia="Arial" w:hAnsi="Arial"/>
          <w:sz w:val="14"/>
          <w:szCs w:val="14"/>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Registration Statement and express no opinion or observation upon the terms of any such document.</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Your faithfully</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/s/ Appleby (Cayman) Ltd.</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Appleby (Cayman) Ltd.</w:t>
      </w:r>
    </w:p>
    <w:p>
      <w:pPr>
        <w:spacing w:after="0" w:line="122"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513" w:right="1440" w:bottom="1440" w:gutter="0" w:footer="0" w:header="0"/>
          <w:type w:val="continuous"/>
        </w:sectPr>
      </w:pPr>
    </w:p>
    <w:p>
      <w:pPr>
        <w:spacing w:after="0" w:line="18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Bermuda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British Virgin Islands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1"/>
          <w:szCs w:val="11"/>
          <w:color w:val="auto"/>
        </w:rPr>
        <w:t>Cayman Islands</w:t>
        <w:tab/>
        <w:t>Guernsey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Hong Kong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660" w:val="left"/>
          <w:tab w:leader="none" w:pos="1100" w:val="left"/>
          <w:tab w:leader="none" w:pos="1680" w:val="left"/>
          <w:tab w:leader="none" w:pos="2340" w:val="left"/>
        </w:tabs>
        <w:rPr>
          <w:sz w:val="20"/>
          <w:szCs w:val="20"/>
          <w:color w:val="auto"/>
        </w:rPr>
      </w:pPr>
      <w:r>
        <w:rPr>
          <w:rFonts w:ascii="Arial" w:cs="Arial" w:eastAsia="Arial" w:hAnsi="Arial"/>
          <w:sz w:val="11"/>
          <w:szCs w:val="11"/>
          <w:color w:val="auto"/>
        </w:rPr>
        <w:t>Isle of Man</w:t>
        <w:tab/>
        <w:t>Jersey</w:t>
        <w:tab/>
        <w:t>Mauritius</w:t>
        <w:tab/>
        <w:t>Seychelles</w:t>
        <w:tab/>
        <w:t>Shanghai</w:t>
      </w:r>
    </w:p>
    <w:p>
      <w:pPr>
        <w:sectPr>
          <w:pgSz w:w="11900" w:h="16838" w:orient="portrait"/>
          <w:cols w:equalWidth="0" w:num="6">
            <w:col w:w="1220" w:space="720"/>
            <w:col w:w="540" w:space="40"/>
            <w:col w:w="1100" w:space="40"/>
            <w:col w:w="1500" w:space="40"/>
            <w:col w:w="640" w:space="40"/>
            <w:col w:w="3139"/>
          </w:cols>
          <w:pgMar w:left="1440" w:top="513" w:right="1440" w:bottom="1440" w:gutter="0" w:footer="0" w:header="0"/>
          <w:type w:val="continuous"/>
        </w:sectPr>
      </w:pPr>
    </w:p>
    <w:bookmarkStart w:id="37" w:name="page38"/>
    <w:bookmarkEnd w:id="37"/>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77" w:lineRule="exact"/>
        <w:rPr>
          <w:sz w:val="20"/>
          <w:szCs w:val="20"/>
          <w:color w:val="auto"/>
        </w:rPr>
      </w:pPr>
    </w:p>
    <w:p>
      <w:pPr>
        <w:jc w:val="both"/>
        <w:ind w:left="220" w:right="259"/>
        <w:spacing w:after="0" w:line="266"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F-3 of our report dated March 31, 2026 with respect to the financial statements of Connect Biopharma Holdings Limited for the years ended December 31, 2025 and 2024 included in the Annual Report on Form 10-K. We also consent to the reference to us under the heading “Experts” in such Registration Statement.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CBIZ CPA</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xml:space="preserve"> P.C.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May 15, 2026</w:t>
      </w:r>
    </w:p>
    <w:p>
      <w:pPr>
        <w:sectPr>
          <w:pgSz w:w="11900" w:h="16838" w:orient="portrait"/>
          <w:cols w:equalWidth="0" w:num="1">
            <w:col w:w="9019"/>
          </w:cols>
          <w:pgMar w:left="1440" w:top="123" w:right="1440" w:bottom="1440" w:gutter="0" w:footer="0" w:header="0"/>
        </w:sectPr>
      </w:pPr>
    </w:p>
    <w:bookmarkStart w:id="38" w:name="page39"/>
    <w:bookmarkEnd w:id="3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Connect Biopharma Holdings Ltd</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2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13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4"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6,130,000</w:t>
            </w:r>
          </w:p>
        </w:tc>
        <w:tc>
          <w:tcPr>
            <w:tcW w:w="20" w:type="dxa"/>
            <w:vAlign w:val="bottom"/>
          </w:tcPr>
          <w:p>
            <w:pPr>
              <w:spacing w:after="0"/>
              <w:rPr>
                <w:sz w:val="8"/>
                <w:szCs w:val="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$ 2.37</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$ 2,006.33</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14,528,100.00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$0.000174</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15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$ 2,006.33</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14,528,100.00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$ 2,006.33</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200" w:hanging="185"/>
        <w:spacing w:after="0" w:line="229" w:lineRule="auto"/>
        <w:tabs>
          <w:tab w:leader="none" w:pos="22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(1) Pursuant to Rule 416 under the Securities Act of 1933, as amended (the "Securities Act"), the registrant is also registering an indeterminate number of additional ordinary shares issuable by reason of any stock dividend, stock split, recapitalization or other similar transaction. (2) Estimated solely for the purpose of calculating the registration fee pursuant to Rule 457(c) of the Securities Act, and based upon the average of the high and low prices for a share of the registrant's ordinary shares as reported on the Nasdaq Global Select Market on May 11, 2026 (such date being within five business days of the date that this registration statement was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19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00" w:type="dxa"/>
            <w:vAlign w:val="bottom"/>
            <w:gridSpan w:val="3"/>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lef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60" w:type="dxa"/>
            <w:vAlign w:val="bottom"/>
            <w:shd w:val="clear" w:color="auto" w:fill="9ADAF6"/>
          </w:tcPr>
          <w:p>
            <w:pPr>
              <w:jc w:val="center"/>
              <w:ind w:right="23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3"/>
          </w:tcPr>
          <w:p>
            <w:pPr>
              <w:ind w:left="58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34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87"/>
              </w:rPr>
              <w:t>Security Type</w:t>
            </w: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4"/>
            <w:vMerge w:val="continue"/>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6"/>
    </w:lvl>
  </w:abstractNum>
  <w:abstractNum w:abstractNumId="14">
    <w:nsid w:val="62BBD95A"/>
    <w:multiLevelType w:val="hybridMultilevel"/>
    <w:lvl w:ilvl="0">
      <w:lvlJc w:val="left"/>
      <w:lvlText w:val="(%1)"/>
      <w:numFmt w:val="decimal"/>
      <w:start w:val="14"/>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Roman"/>
      <w:start w:val="6"/>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jpeg"/><Relationship Id="rId65" Type="http://schemas.openxmlformats.org/officeDocument/2006/relationships/image" Target="media/image50.png"/><Relationship Id="rId66" Type="http://schemas.openxmlformats.org/officeDocument/2006/relationships/image" Target="media/image51.jpeg"/><Relationship Id="rId67" Type="http://schemas.openxmlformats.org/officeDocument/2006/relationships/image" Target="media/image52.png"/><Relationship Id="rId68" Type="http://schemas.openxmlformats.org/officeDocument/2006/relationships/image" Target="media/image53.jpeg"/><Relationship Id="rId69" Type="http://schemas.openxmlformats.org/officeDocument/2006/relationships/image" Target="media/image54.png"/><Relationship Id="rId70" Type="http://schemas.openxmlformats.org/officeDocument/2006/relationships/image" Target="media/image55.jpeg"/><Relationship Id="rId71" Type="http://schemas.openxmlformats.org/officeDocument/2006/relationships/image" Target="media/image56.png"/><Relationship Id="rId72" Type="http://schemas.openxmlformats.org/officeDocument/2006/relationships/image" Target="media/image57.jpeg"/><Relationship Id="rId73" Type="http://schemas.openxmlformats.org/officeDocument/2006/relationships/image" Target="media/image58.png"/><Relationship Id="rId28" Type="http://schemas.openxmlformats.org/officeDocument/2006/relationships/hyperlink" Target="http://www.sec.gov/ix?doc=/Archives/edgar/data/1835268/000183526826000013/cntb-20251231.htm" TargetMode="External"/><Relationship Id="rId29" Type="http://schemas.openxmlformats.org/officeDocument/2006/relationships/hyperlink" Target="http://www.sec.gov/ix?doc=/Archives/edgar/data/1835268/000183526826000020/cntb-20260331.htm" TargetMode="External"/><Relationship Id="rId30" Type="http://schemas.openxmlformats.org/officeDocument/2006/relationships/hyperlink" Target="http://www.sec.gov/ix?doc=/Archives/edgar/data/1835268/000183526826000006/cntb-20260329.htm" TargetMode="External"/><Relationship Id="rId31" Type="http://schemas.openxmlformats.org/officeDocument/2006/relationships/hyperlink" Target="http://www.sec.gov/ix?doc=/Archives/edgar/data/1835268/000183526826000016/cntb-20260423.htm" TargetMode="External"/><Relationship Id="rId32" Type="http://schemas.openxmlformats.org/officeDocument/2006/relationships/hyperlink" Target="http://www.sec.gov/Archives/edgar/data/1835268/000119312521079822/d154885d8a12b.htm" TargetMode="External"/><Relationship Id="rId59" Type="http://schemas.openxmlformats.org/officeDocument/2006/relationships/hyperlink" Target="http://www.sec.gov/Archives/edgar/data/1835268/000095017022005219/cntb-ex1_1.htm" TargetMode="External"/><Relationship Id="rId60" Type="http://schemas.openxmlformats.org/officeDocument/2006/relationships/hyperlink" Target="http://www.sec.gov/Archives/edgar/data/1835268/000119312521079813/d295873dex41.htm" TargetMode="External"/><Relationship Id="rId61" Type="http://schemas.openxmlformats.org/officeDocument/2006/relationships/hyperlink" Target="http://www.sec.gov/Archives/edgar/data/1835268/000183526826000006/exhibit101-securitiespur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2026-05-15T07:36:23Z</dcterms:created>
  <dcterms:modified xsi:type="dcterms:W3CDTF">2026-05-15T07:36:23Z</dcterms:modified>
</cp:coreProperties>
</file>